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7564FC" w:rsidTr="007564FC">
        <w:trPr>
          <w:trHeight w:val="360"/>
          <w:jc w:val="center"/>
        </w:trPr>
        <w:tc>
          <w:tcPr>
            <w:tcW w:w="9365" w:type="dxa"/>
            <w:hideMark/>
          </w:tcPr>
          <w:p w:rsidR="007564FC" w:rsidRDefault="00087A57" w:rsidP="00D513AA">
            <w:pPr>
              <w:suppressLineNumbers/>
              <w:spacing w:line="360" w:lineRule="auto"/>
              <w:ind w:left="319"/>
              <w:rPr>
                <w:b/>
                <w:bCs/>
              </w:rPr>
            </w:pPr>
            <w:bookmarkStart w:id="0" w:name="_GoBack"/>
            <w:bookmarkEnd w:id="0"/>
            <w:r>
              <w:rPr>
                <w:rFonts w:hint="cs"/>
                <w:b/>
                <w:bCs/>
                <w:rtl/>
              </w:rPr>
              <w:t>לפני הרכב כבוד השופטים:</w:t>
            </w:r>
          </w:p>
          <w:p w:rsidR="007564FC" w:rsidRDefault="00087A57" w:rsidP="00D513AA">
            <w:pPr>
              <w:suppressLineNumbers/>
              <w:spacing w:line="360" w:lineRule="auto"/>
              <w:ind w:left="319"/>
              <w:rPr>
                <w:b/>
                <w:bCs/>
                <w:rtl/>
              </w:rPr>
            </w:pPr>
            <w:r>
              <w:rPr>
                <w:rFonts w:hint="cs"/>
                <w:b/>
                <w:bCs/>
                <w:rtl/>
              </w:rPr>
              <w:t>חננאל שרעבי [אב"ד]</w:t>
            </w:r>
          </w:p>
          <w:p w:rsidR="007564FC" w:rsidRDefault="00087A57" w:rsidP="00D513AA">
            <w:pPr>
              <w:suppressLineNumbers/>
              <w:spacing w:line="360" w:lineRule="auto"/>
              <w:ind w:left="319"/>
              <w:rPr>
                <w:b/>
                <w:bCs/>
                <w:rtl/>
              </w:rPr>
            </w:pPr>
            <w:r>
              <w:rPr>
                <w:rFonts w:hint="cs"/>
                <w:b/>
                <w:bCs/>
                <w:rtl/>
              </w:rPr>
              <w:t>אספרנצה אלון</w:t>
            </w:r>
          </w:p>
          <w:p w:rsidR="007564FC" w:rsidRDefault="0073452D" w:rsidP="00D513AA">
            <w:pPr>
              <w:suppressLineNumbers/>
              <w:spacing w:line="360" w:lineRule="auto"/>
              <w:ind w:left="319"/>
              <w:rPr>
                <w:b/>
                <w:bCs/>
                <w:rtl/>
              </w:rPr>
            </w:pPr>
            <w:sdt>
              <w:sdtPr>
                <w:rPr>
                  <w:rFonts w:hint="cs"/>
                  <w:rtl/>
                </w:rPr>
                <w:alias w:val="165"/>
                <w:tag w:val="165"/>
                <w:id w:val="584732177"/>
                <w:text w:multiLine="1"/>
              </w:sdtPr>
              <w:sdtEndPr/>
              <w:sdtContent>
                <w:r w:rsidR="00087A57">
                  <w:rPr>
                    <w:rFonts w:hint="cs"/>
                    <w:b/>
                    <w:bCs/>
                    <w:rtl/>
                  </w:rPr>
                  <w:t>אריה נאמן</w:t>
                </w:r>
                <w:r w:rsidR="00D513AA">
                  <w:rPr>
                    <w:b/>
                    <w:bCs/>
                    <w:rtl/>
                  </w:rPr>
                  <w:br/>
                </w:r>
              </w:sdtContent>
            </w:sdt>
          </w:p>
        </w:tc>
      </w:tr>
    </w:tbl>
    <w:tbl>
      <w:tblPr>
        <w:tblStyle w:val="a9"/>
        <w:bidiVisual/>
        <w:tblW w:w="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7564FC" w:rsidTr="007564FC">
        <w:tc>
          <w:tcPr>
            <w:tcW w:w="3246" w:type="dxa"/>
          </w:tcPr>
          <w:p w:rsidR="007564FC" w:rsidRDefault="0073452D">
            <w:pPr>
              <w:suppressLineNumbers/>
              <w:rPr>
                <w:rFonts w:ascii="David" w:eastAsia="David" w:hAnsi="David"/>
                <w:b/>
                <w:bCs/>
              </w:rPr>
            </w:pPr>
          </w:p>
          <w:p w:rsidR="007564FC" w:rsidRDefault="00087A57">
            <w:pPr>
              <w:suppressLineNumbers/>
              <w:rPr>
                <w:rFonts w:ascii="David" w:eastAsia="David" w:hAnsi="David"/>
                <w:b/>
                <w:bCs/>
                <w:rtl/>
              </w:rPr>
            </w:pPr>
            <w:r>
              <w:rPr>
                <w:rFonts w:ascii="David" w:eastAsia="David" w:hAnsi="David" w:hint="cs"/>
                <w:b/>
                <w:bCs/>
                <w:rtl/>
              </w:rPr>
              <w:t>ה</w:t>
            </w:r>
            <w:sdt>
              <w:sdtPr>
                <w:rPr>
                  <w:b/>
                  <w:bCs/>
                  <w:rtl/>
                </w:rPr>
                <w:alias w:val="1264"/>
                <w:tag w:val="1264"/>
                <w:id w:val="748628538"/>
                <w:placeholder>
                  <w:docPart w:val="9285CCC5D9C940BDBCD1089F7339580D"/>
                </w:placeholder>
                <w:text w:multiLine="1"/>
              </w:sdtPr>
              <w:sdtEndPr/>
              <w:sdtContent>
                <w:r>
                  <w:rPr>
                    <w:rFonts w:ascii="David" w:eastAsia="David" w:hAnsi="David"/>
                    <w:b/>
                    <w:bCs/>
                    <w:rtl/>
                  </w:rPr>
                  <w:t>מערערים</w:t>
                </w:r>
              </w:sdtContent>
            </w:sdt>
          </w:p>
        </w:tc>
        <w:tc>
          <w:tcPr>
            <w:tcW w:w="5734" w:type="dxa"/>
          </w:tcPr>
          <w:p w:rsidR="007564FC" w:rsidRDefault="0073452D">
            <w:pPr>
              <w:suppressLineNumbers/>
              <w:rPr>
                <w:rFonts w:ascii="David" w:eastAsia="David" w:hAnsi="David"/>
                <w:b/>
                <w:bCs/>
                <w:rtl/>
              </w:rPr>
            </w:pPr>
          </w:p>
          <w:p w:rsidR="007564FC" w:rsidRDefault="0073452D" w:rsidP="00232914">
            <w:pPr>
              <w:suppressLineNumbers/>
              <w:rPr>
                <w:rtl/>
              </w:rPr>
            </w:pPr>
            <w:sdt>
              <w:sdtPr>
                <w:rPr>
                  <w:b/>
                  <w:bCs/>
                  <w:rtl/>
                </w:rPr>
                <w:alias w:val="828"/>
                <w:tag w:val="828"/>
                <w:id w:val="1526603318"/>
                <w:placeholder>
                  <w:docPart w:val="05853EEE1A7548759250C756720CE766"/>
                </w:placeholder>
                <w:text w:multiLine="1"/>
              </w:sdtPr>
              <w:sdtEndPr/>
              <w:sdtContent>
                <w:r w:rsidR="00087A57">
                  <w:rPr>
                    <w:rFonts w:ascii="David" w:eastAsia="David" w:hAnsi="David"/>
                    <w:b/>
                    <w:bCs/>
                  </w:rPr>
                  <w:t>.1</w:t>
                </w:r>
              </w:sdtContent>
            </w:sdt>
            <w:r w:rsidR="00087A57">
              <w:rPr>
                <w:rFonts w:hint="cs"/>
                <w:b/>
                <w:bCs/>
                <w:rtl/>
              </w:rPr>
              <w:t xml:space="preserve"> </w:t>
            </w:r>
            <w:sdt>
              <w:sdtPr>
                <w:rPr>
                  <w:b/>
                  <w:bCs/>
                  <w:rtl/>
                </w:rPr>
                <w:alias w:val="825"/>
                <w:tag w:val="825"/>
                <w:id w:val="-1404140937"/>
                <w:placeholder>
                  <w:docPart w:val="CEE0AF951345467EA068F658537E069F"/>
                </w:placeholder>
                <w:text w:multiLine="1"/>
              </w:sdtPr>
              <w:sdtEndPr/>
              <w:sdtContent>
                <w:r w:rsidR="00232914">
                  <w:rPr>
                    <w:b/>
                    <w:bCs/>
                    <w:rtl/>
                  </w:rPr>
                  <w:t>מ</w:t>
                </w:r>
                <w:r w:rsidR="00232914">
                  <w:rPr>
                    <w:rFonts w:hint="cs"/>
                    <w:b/>
                    <w:bCs/>
                    <w:rtl/>
                  </w:rPr>
                  <w:t>. א. ג</w:t>
                </w:r>
              </w:sdtContent>
            </w:sdt>
            <w:r w:rsidR="00087A57">
              <w:rPr>
                <w:rFonts w:hint="cs"/>
                <w:b/>
                <w:bCs/>
                <w:rtl/>
              </w:rPr>
              <w:t xml:space="preserve"> </w:t>
            </w:r>
            <w:sdt>
              <w:sdtPr>
                <w:rPr>
                  <w:b/>
                  <w:bCs/>
                  <w:rtl/>
                </w:rPr>
                <w:alias w:val="2686"/>
                <w:tag w:val="2686"/>
                <w:id w:val="-38594229"/>
                <w:placeholder>
                  <w:docPart w:val="0181649DAB574B21B3A04941FA4FB49F"/>
                </w:placeholder>
                <w:text w:multiLine="1"/>
              </w:sdtPr>
              <w:sdtEndPr/>
              <w:sdtContent>
                <w:r w:rsidR="00232914">
                  <w:rPr>
                    <w:b/>
                    <w:bCs/>
                    <w:rtl/>
                  </w:rPr>
                  <w:t xml:space="preserve"> </w:t>
                </w:r>
              </w:sdtContent>
            </w:sdt>
            <w:r w:rsidR="00087A57">
              <w:rPr>
                <w:rFonts w:hint="cs"/>
                <w:b/>
                <w:bCs/>
                <w:rtl/>
              </w:rPr>
              <w:t xml:space="preserve"> </w:t>
            </w:r>
          </w:p>
          <w:p w:rsidR="007564FC" w:rsidRDefault="0073452D" w:rsidP="00232914">
            <w:pPr>
              <w:suppressLineNumbers/>
              <w:spacing w:line="360" w:lineRule="auto"/>
            </w:pPr>
            <w:sdt>
              <w:sdtPr>
                <w:rPr>
                  <w:b/>
                  <w:bCs/>
                  <w:rtl/>
                </w:rPr>
                <w:alias w:val="828"/>
                <w:tag w:val="828"/>
                <w:id w:val="1347980608"/>
                <w:placeholder>
                  <w:docPart w:val="05853EEE1A7548759250C756720CE766"/>
                </w:placeholder>
                <w:text w:multiLine="1"/>
              </w:sdtPr>
              <w:sdtEndPr/>
              <w:sdtContent>
                <w:r w:rsidR="00087A57">
                  <w:rPr>
                    <w:rFonts w:ascii="David" w:eastAsia="David" w:hAnsi="David"/>
                    <w:b/>
                    <w:bCs/>
                  </w:rPr>
                  <w:t>.2</w:t>
                </w:r>
              </w:sdtContent>
            </w:sdt>
            <w:r w:rsidR="00087A57">
              <w:rPr>
                <w:rFonts w:hint="cs"/>
                <w:b/>
                <w:bCs/>
                <w:rtl/>
              </w:rPr>
              <w:t xml:space="preserve"> </w:t>
            </w:r>
            <w:r w:rsidR="00232914">
              <w:rPr>
                <w:rFonts w:hint="cs"/>
                <w:b/>
                <w:bCs/>
                <w:rtl/>
              </w:rPr>
              <w:t>א. א</w:t>
            </w:r>
            <w:r w:rsidR="00087A57">
              <w:rPr>
                <w:rFonts w:hint="cs"/>
                <w:b/>
                <w:bCs/>
                <w:rtl/>
              </w:rPr>
              <w:t xml:space="preserve"> </w:t>
            </w:r>
            <w:sdt>
              <w:sdtPr>
                <w:rPr>
                  <w:b/>
                  <w:bCs/>
                  <w:rtl/>
                </w:rPr>
                <w:alias w:val="2688"/>
                <w:tag w:val="2688"/>
                <w:id w:val="-1339533321"/>
                <w:placeholder>
                  <w:docPart w:val="FB190806127F400B8C5252956F1E34CA"/>
                </w:placeholder>
                <w:text w:multiLine="1"/>
              </w:sdtPr>
              <w:sdtEndPr/>
              <w:sdtContent>
                <w:r w:rsidR="00D513AA">
                  <w:rPr>
                    <w:b/>
                    <w:bCs/>
                    <w:rtl/>
                  </w:rPr>
                  <w:br/>
                </w:r>
                <w:r w:rsidR="00D513AA">
                  <w:rPr>
                    <w:rFonts w:hint="cs"/>
                    <w:b/>
                    <w:bCs/>
                    <w:rtl/>
                  </w:rPr>
                  <w:t>שניהם ע"י ב"כ עו"ד ויסאם אסמר</w:t>
                </w:r>
              </w:sdtContent>
            </w:sdt>
          </w:p>
        </w:tc>
      </w:tr>
      <w:tr w:rsidR="007564FC" w:rsidTr="007564FC">
        <w:tc>
          <w:tcPr>
            <w:tcW w:w="8980" w:type="dxa"/>
            <w:gridSpan w:val="2"/>
          </w:tcPr>
          <w:p w:rsidR="007564FC" w:rsidRDefault="0073452D">
            <w:pPr>
              <w:suppressLineNumbers/>
              <w:rPr>
                <w:rFonts w:ascii="David" w:eastAsia="David" w:hAnsi="David"/>
                <w:b/>
                <w:bCs/>
              </w:rPr>
            </w:pPr>
          </w:p>
          <w:p w:rsidR="007564FC" w:rsidRDefault="00087A57" w:rsidP="00D513AA">
            <w:pPr>
              <w:suppressLineNumbers/>
              <w:spacing w:line="360" w:lineRule="auto"/>
              <w:jc w:val="center"/>
              <w:rPr>
                <w:rFonts w:ascii="David" w:eastAsia="David" w:hAnsi="David"/>
                <w:b/>
                <w:bCs/>
                <w:rtl/>
              </w:rPr>
            </w:pPr>
            <w:r>
              <w:rPr>
                <w:rFonts w:ascii="David" w:eastAsia="David" w:hAnsi="David" w:hint="cs"/>
                <w:b/>
                <w:bCs/>
                <w:rtl/>
              </w:rPr>
              <w:t>נגד</w:t>
            </w:r>
          </w:p>
          <w:p w:rsidR="007564FC" w:rsidRDefault="0073452D">
            <w:pPr>
              <w:suppressLineNumbers/>
              <w:rPr>
                <w:rFonts w:ascii="David" w:eastAsia="David" w:hAnsi="David"/>
                <w:b/>
                <w:bCs/>
                <w:rtl/>
              </w:rPr>
            </w:pPr>
          </w:p>
        </w:tc>
      </w:tr>
      <w:tr w:rsidR="007564FC" w:rsidTr="007564FC">
        <w:trPr>
          <w:trHeight w:val="740"/>
        </w:trPr>
        <w:tc>
          <w:tcPr>
            <w:tcW w:w="3246" w:type="dxa"/>
            <w:hideMark/>
          </w:tcPr>
          <w:p w:rsidR="007564FC" w:rsidRDefault="00087A57">
            <w:pPr>
              <w:suppressLineNumbers/>
              <w:rPr>
                <w:rFonts w:ascii="David" w:eastAsia="David" w:hAnsi="David"/>
                <w:b/>
                <w:bCs/>
                <w:rtl/>
              </w:rPr>
            </w:pPr>
            <w:r>
              <w:rPr>
                <w:rFonts w:ascii="David" w:eastAsia="David" w:hAnsi="David" w:hint="cs"/>
                <w:b/>
                <w:bCs/>
                <w:rtl/>
              </w:rPr>
              <w:t>ה</w:t>
            </w:r>
            <w:sdt>
              <w:sdtPr>
                <w:rPr>
                  <w:b/>
                  <w:bCs/>
                  <w:rtl/>
                </w:rPr>
                <w:alias w:val="1265"/>
                <w:tag w:val="1265"/>
                <w:id w:val="15438151"/>
                <w:text/>
              </w:sdtPr>
              <w:sdtEndPr/>
              <w:sdtContent>
                <w:r>
                  <w:rPr>
                    <w:rFonts w:ascii="David" w:eastAsia="David" w:hAnsi="David"/>
                    <w:b/>
                    <w:bCs/>
                    <w:rtl/>
                  </w:rPr>
                  <w:t>משיבה</w:t>
                </w:r>
              </w:sdtContent>
            </w:sdt>
          </w:p>
        </w:tc>
        <w:tc>
          <w:tcPr>
            <w:tcW w:w="5734" w:type="dxa"/>
            <w:hideMark/>
          </w:tcPr>
          <w:p w:rsidR="007564FC" w:rsidRDefault="0073452D" w:rsidP="00E01B3D">
            <w:pPr>
              <w:suppressLineNumbers/>
              <w:spacing w:line="360" w:lineRule="auto"/>
              <w:rPr>
                <w:rFonts w:ascii="David" w:eastAsia="David" w:hAnsi="David"/>
                <w:b/>
                <w:bCs/>
                <w:rtl/>
              </w:rPr>
            </w:pPr>
            <w:sdt>
              <w:sdtPr>
                <w:rPr>
                  <w:b/>
                  <w:bCs/>
                  <w:rtl/>
                </w:rPr>
                <w:alias w:val="1266"/>
                <w:tag w:val="1266"/>
                <w:id w:val="1865085449"/>
                <w:placeholder>
                  <w:docPart w:val="BE85E1C7A3004D52A5F7ED65BCD4A2F3"/>
                </w:placeholder>
                <w:text w:multiLine="1"/>
              </w:sdtPr>
              <w:sdtEndPr/>
              <w:sdtContent>
                <w:r w:rsidR="00E01B3D">
                  <w:rPr>
                    <w:b/>
                    <w:bCs/>
                    <w:rtl/>
                  </w:rPr>
                  <w:t>ל</w:t>
                </w:r>
                <w:r w:rsidR="00E01B3D">
                  <w:rPr>
                    <w:rFonts w:hint="cs"/>
                    <w:b/>
                    <w:bCs/>
                    <w:rtl/>
                  </w:rPr>
                  <w:t>. ק</w:t>
                </w:r>
                <w:r w:rsidR="00D513AA" w:rsidRPr="00D513AA">
                  <w:rPr>
                    <w:b/>
                    <w:bCs/>
                    <w:rtl/>
                  </w:rPr>
                  <w:br/>
                </w:r>
                <w:r w:rsidR="00D513AA" w:rsidRPr="00D513AA">
                  <w:rPr>
                    <w:rFonts w:hint="cs"/>
                    <w:b/>
                    <w:bCs/>
                    <w:rtl/>
                  </w:rPr>
                  <w:t>ע"י ב"כ עו"ד יעקב חלול</w:t>
                </w:r>
              </w:sdtContent>
            </w:sdt>
            <w:r w:rsidR="00087A57">
              <w:rPr>
                <w:rFonts w:hint="cs"/>
                <w:b/>
                <w:bCs/>
                <w:rtl/>
              </w:rPr>
              <w:t xml:space="preserve"> </w:t>
            </w:r>
          </w:p>
        </w:tc>
      </w:tr>
    </w:tbl>
    <w:p w:rsidR="007564FC" w:rsidRDefault="0073452D" w:rsidP="007564FC">
      <w:pPr>
        <w:jc w:val="both"/>
        <w:rPr>
          <w:rtl/>
        </w:rPr>
      </w:pPr>
    </w:p>
    <w:p w:rsidR="001434F7" w:rsidRDefault="0073452D"/>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D513AA" w:rsidRPr="00620557" w:rsidRDefault="00D513AA" w:rsidP="00432342">
      <w:pPr>
        <w:spacing w:after="120" w:line="360" w:lineRule="auto"/>
        <w:jc w:val="both"/>
        <w:rPr>
          <w:rFonts w:ascii="David" w:hAnsi="David"/>
          <w:b/>
          <w:bCs/>
          <w:u w:val="single"/>
          <w:rtl/>
        </w:rPr>
      </w:pPr>
      <w:bookmarkStart w:id="1" w:name="NGCSBookmark"/>
      <w:bookmarkEnd w:id="1"/>
      <w:r w:rsidRPr="00620557">
        <w:rPr>
          <w:rFonts w:ascii="David" w:hAnsi="David" w:hint="cs"/>
          <w:b/>
          <w:bCs/>
          <w:u w:val="single"/>
          <w:rtl/>
        </w:rPr>
        <w:t>השופט חננאל שרעבי, אב"ד:</w:t>
      </w:r>
    </w:p>
    <w:p w:rsidR="00D513AA" w:rsidRPr="00FD1A8D" w:rsidRDefault="00D513AA" w:rsidP="00432342">
      <w:pPr>
        <w:spacing w:after="120" w:line="360" w:lineRule="auto"/>
        <w:ind w:left="720" w:hanging="720"/>
        <w:jc w:val="both"/>
        <w:rPr>
          <w:rFonts w:ascii="David" w:hAnsi="David"/>
          <w:rtl/>
        </w:rPr>
      </w:pPr>
      <w:r w:rsidRPr="00FD1A8D">
        <w:rPr>
          <w:rFonts w:ascii="David" w:hAnsi="David" w:hint="cs"/>
          <w:rtl/>
        </w:rPr>
        <w:t>1.</w:t>
      </w:r>
      <w:r>
        <w:rPr>
          <w:rFonts w:ascii="David" w:hAnsi="David"/>
          <w:rtl/>
        </w:rPr>
        <w:tab/>
      </w:r>
      <w:r>
        <w:rPr>
          <w:rFonts w:ascii="David" w:hAnsi="David" w:hint="cs"/>
          <w:rtl/>
        </w:rPr>
        <w:t xml:space="preserve">עסקינן בערעור על פסק דינו של בית משפט לענייני משפחה בחיפה (כב' השופטת רויטל באום) בתמ"ש 60978-01-22 ו-9385-05-22 (להלן: </w:t>
      </w:r>
      <w:r>
        <w:rPr>
          <w:rFonts w:ascii="David" w:hAnsi="David" w:hint="cs"/>
          <w:b/>
          <w:bCs/>
          <w:rtl/>
        </w:rPr>
        <w:t xml:space="preserve">"תיק א'" </w:t>
      </w:r>
      <w:r>
        <w:rPr>
          <w:rFonts w:ascii="David" w:hAnsi="David" w:hint="cs"/>
          <w:rtl/>
        </w:rPr>
        <w:t>ו-</w:t>
      </w:r>
      <w:r>
        <w:rPr>
          <w:rFonts w:ascii="David" w:hAnsi="David" w:hint="cs"/>
          <w:b/>
          <w:bCs/>
          <w:rtl/>
        </w:rPr>
        <w:t>תיק ב'"</w:t>
      </w:r>
      <w:r>
        <w:rPr>
          <w:rFonts w:ascii="David" w:hAnsi="David" w:hint="cs"/>
          <w:rtl/>
        </w:rPr>
        <w:t xml:space="preserve">, בהתאמה), מיום 19.12.2023 (להלן: </w:t>
      </w:r>
      <w:r>
        <w:rPr>
          <w:rFonts w:ascii="David" w:hAnsi="David" w:hint="cs"/>
          <w:b/>
          <w:bCs/>
          <w:rtl/>
        </w:rPr>
        <w:t>"פסק הדין"</w:t>
      </w:r>
      <w:r>
        <w:rPr>
          <w:rFonts w:ascii="David" w:hAnsi="David" w:hint="cs"/>
          <w:rtl/>
        </w:rPr>
        <w:t>).</w:t>
      </w:r>
    </w:p>
    <w:p w:rsidR="00D513AA" w:rsidRDefault="00D513AA" w:rsidP="00E01B3D">
      <w:pPr>
        <w:spacing w:after="120" w:line="360" w:lineRule="auto"/>
        <w:ind w:left="720" w:hanging="720"/>
        <w:jc w:val="both"/>
        <w:rPr>
          <w:rFonts w:ascii="David" w:hAnsi="David"/>
          <w:rtl/>
        </w:rPr>
      </w:pPr>
      <w:r>
        <w:rPr>
          <w:rFonts w:ascii="David" w:hAnsi="David" w:hint="cs"/>
          <w:rtl/>
        </w:rPr>
        <w:t>2.</w:t>
      </w:r>
      <w:r>
        <w:rPr>
          <w:rFonts w:ascii="David" w:hAnsi="David" w:hint="cs"/>
          <w:rtl/>
        </w:rPr>
        <w:tab/>
        <w:t xml:space="preserve">נקדים ונאמר, כי במסגרת פסק הדין, קיבל בית המשפט את עמדת המשיבה (להלן: </w:t>
      </w:r>
      <w:r>
        <w:rPr>
          <w:rFonts w:ascii="David" w:hAnsi="David" w:hint="cs"/>
          <w:b/>
          <w:bCs/>
          <w:rtl/>
        </w:rPr>
        <w:t>"האישה"</w:t>
      </w:r>
      <w:r>
        <w:rPr>
          <w:rFonts w:ascii="David" w:hAnsi="David" w:hint="cs"/>
          <w:rtl/>
        </w:rPr>
        <w:t>), כי</w:t>
      </w:r>
      <w:r w:rsidR="00E01B3D">
        <w:rPr>
          <w:rFonts w:ascii="David" w:hAnsi="David" w:hint="cs"/>
          <w:rtl/>
        </w:rPr>
        <w:t xml:space="preserve"> חנות ברחוב .... </w:t>
      </w:r>
      <w:r>
        <w:rPr>
          <w:rFonts w:ascii="David" w:hAnsi="David" w:hint="cs"/>
          <w:rtl/>
        </w:rPr>
        <w:t xml:space="preserve">, בגוש: </w:t>
      </w:r>
      <w:r w:rsidR="00E01B3D">
        <w:rPr>
          <w:rFonts w:ascii="David" w:hAnsi="David" w:hint="cs"/>
          <w:rtl/>
        </w:rPr>
        <w:t>....</w:t>
      </w:r>
      <w:r>
        <w:rPr>
          <w:rFonts w:ascii="David" w:hAnsi="David" w:hint="cs"/>
          <w:rtl/>
        </w:rPr>
        <w:t xml:space="preserve">, חלקה: </w:t>
      </w:r>
      <w:r w:rsidR="00E01B3D">
        <w:rPr>
          <w:rFonts w:ascii="David" w:hAnsi="David" w:hint="cs"/>
          <w:rtl/>
        </w:rPr>
        <w:t>...</w:t>
      </w:r>
      <w:r>
        <w:rPr>
          <w:rFonts w:ascii="David" w:hAnsi="David" w:hint="cs"/>
          <w:rtl/>
        </w:rPr>
        <w:t xml:space="preserve">, תת חלקה: </w:t>
      </w:r>
      <w:r w:rsidR="00E01B3D">
        <w:rPr>
          <w:rFonts w:ascii="David" w:hAnsi="David" w:hint="cs"/>
          <w:rtl/>
        </w:rPr>
        <w:t>...</w:t>
      </w:r>
      <w:r>
        <w:rPr>
          <w:rFonts w:ascii="David" w:hAnsi="David" w:hint="cs"/>
          <w:rtl/>
        </w:rPr>
        <w:t xml:space="preserve"> (להלן: </w:t>
      </w:r>
      <w:r>
        <w:rPr>
          <w:rFonts w:ascii="David" w:hAnsi="David" w:hint="cs"/>
          <w:b/>
          <w:bCs/>
          <w:rtl/>
        </w:rPr>
        <w:t>"החנות"</w:t>
      </w:r>
      <w:r>
        <w:rPr>
          <w:rFonts w:ascii="David" w:hAnsi="David" w:hint="cs"/>
          <w:rtl/>
        </w:rPr>
        <w:t xml:space="preserve">), הרשומה כיום על שם מערער 2 (להלן: </w:t>
      </w:r>
      <w:r>
        <w:rPr>
          <w:rFonts w:ascii="David" w:hAnsi="David" w:hint="cs"/>
          <w:b/>
          <w:bCs/>
          <w:rtl/>
        </w:rPr>
        <w:t>"האיש"</w:t>
      </w:r>
      <w:r>
        <w:rPr>
          <w:rFonts w:ascii="David" w:hAnsi="David" w:hint="cs"/>
          <w:rtl/>
        </w:rPr>
        <w:t xml:space="preserve">), הוא בבעלות האישה מכח הסכם גירושין שנחתם בין הצדדים מיום 16.3.2010 (להלן: </w:t>
      </w:r>
      <w:r>
        <w:rPr>
          <w:rFonts w:ascii="David" w:hAnsi="David" w:hint="cs"/>
          <w:b/>
          <w:bCs/>
          <w:rtl/>
        </w:rPr>
        <w:t>"הסכם הגירושין"</w:t>
      </w:r>
      <w:r>
        <w:rPr>
          <w:rFonts w:ascii="David" w:hAnsi="David" w:hint="cs"/>
          <w:rtl/>
        </w:rPr>
        <w:t xml:space="preserve">) ואושר בדיון שהתקיים במעמד האיש והאישה בבית הדין הכנסייתי ביום 30.4.2010. </w:t>
      </w:r>
    </w:p>
    <w:p w:rsidR="00D513AA" w:rsidRDefault="00D513AA" w:rsidP="00432342">
      <w:pPr>
        <w:spacing w:after="120" w:line="360" w:lineRule="auto"/>
        <w:ind w:left="720" w:hanging="720"/>
        <w:jc w:val="both"/>
        <w:rPr>
          <w:rFonts w:ascii="David" w:hAnsi="David"/>
          <w:rtl/>
        </w:rPr>
      </w:pPr>
    </w:p>
    <w:p w:rsidR="00D513AA" w:rsidRDefault="00D513AA" w:rsidP="00432342">
      <w:pPr>
        <w:spacing w:after="120" w:line="360" w:lineRule="auto"/>
        <w:ind w:left="720" w:hanging="720"/>
        <w:jc w:val="both"/>
        <w:rPr>
          <w:rFonts w:ascii="David" w:hAnsi="David"/>
          <w:b/>
          <w:bCs/>
          <w:u w:val="single"/>
        </w:rPr>
      </w:pPr>
      <w:r w:rsidRPr="00FD1A8D">
        <w:rPr>
          <w:rFonts w:ascii="David" w:hAnsi="David" w:hint="cs"/>
          <w:b/>
          <w:bCs/>
          <w:u w:val="single"/>
          <w:rtl/>
        </w:rPr>
        <w:t>רקע בקצרה</w:t>
      </w:r>
      <w:r>
        <w:rPr>
          <w:rFonts w:ascii="David" w:hAnsi="David" w:hint="cs"/>
          <w:b/>
          <w:bCs/>
          <w:u w:val="single"/>
          <w:rtl/>
        </w:rPr>
        <w:t>, כעולה מפסק הדין</w:t>
      </w:r>
    </w:p>
    <w:p w:rsidR="00D513AA" w:rsidRDefault="00D513AA" w:rsidP="00432342">
      <w:pPr>
        <w:spacing w:after="120" w:line="360" w:lineRule="auto"/>
        <w:ind w:left="720" w:hanging="720"/>
        <w:jc w:val="both"/>
        <w:rPr>
          <w:rFonts w:ascii="David" w:hAnsi="David"/>
          <w:rtl/>
        </w:rPr>
      </w:pPr>
      <w:r>
        <w:rPr>
          <w:rFonts w:ascii="David" w:hAnsi="David" w:hint="cs"/>
          <w:rtl/>
        </w:rPr>
        <w:lastRenderedPageBreak/>
        <w:t>3.</w:t>
      </w:r>
      <w:r>
        <w:rPr>
          <w:rFonts w:ascii="David" w:hAnsi="David" w:hint="cs"/>
          <w:rtl/>
        </w:rPr>
        <w:tab/>
        <w:t>האיש והאישה הינם בני זוג לשעבר. הם</w:t>
      </w:r>
      <w:r w:rsidRPr="006A6019">
        <w:rPr>
          <w:rFonts w:ascii="David" w:hAnsi="David"/>
          <w:rtl/>
        </w:rPr>
        <w:t xml:space="preserve"> היו נשואים משנת 1987 ועד לגירושיהם בבית הדין הכנסייתי בשנת 2010.</w:t>
      </w:r>
    </w:p>
    <w:p w:rsidR="00D513AA" w:rsidRDefault="00D513AA" w:rsidP="00E01B3D">
      <w:pPr>
        <w:spacing w:after="120" w:line="360" w:lineRule="auto"/>
        <w:ind w:left="720" w:hanging="720"/>
        <w:jc w:val="both"/>
        <w:rPr>
          <w:rFonts w:ascii="David" w:hAnsi="David"/>
          <w:rtl/>
        </w:rPr>
      </w:pPr>
      <w:r>
        <w:rPr>
          <w:rFonts w:ascii="David" w:hAnsi="David" w:hint="cs"/>
          <w:rtl/>
        </w:rPr>
        <w:t>4.</w:t>
      </w:r>
      <w:r>
        <w:rPr>
          <w:rFonts w:ascii="David" w:hAnsi="David" w:hint="cs"/>
          <w:rtl/>
        </w:rPr>
        <w:tab/>
        <w:t xml:space="preserve">מערערת 1, </w:t>
      </w:r>
      <w:r w:rsidR="00E01B3D">
        <w:rPr>
          <w:rFonts w:ascii="David" w:hAnsi="David" w:hint="cs"/>
          <w:rtl/>
        </w:rPr>
        <w:t>מ'</w:t>
      </w:r>
      <w:r>
        <w:rPr>
          <w:rFonts w:ascii="David" w:hAnsi="David" w:hint="cs"/>
          <w:rtl/>
        </w:rPr>
        <w:t xml:space="preserve">, </w:t>
      </w:r>
      <w:r w:rsidRPr="006A6019">
        <w:rPr>
          <w:rFonts w:ascii="David" w:hAnsi="David"/>
          <w:rtl/>
        </w:rPr>
        <w:t xml:space="preserve">היא בתם המשותפת הבכורה של הצדדים. </w:t>
      </w:r>
      <w:r>
        <w:rPr>
          <w:rFonts w:ascii="David" w:hAnsi="David" w:hint="cs"/>
          <w:rtl/>
        </w:rPr>
        <w:t>היא ילידת 1988 (</w:t>
      </w:r>
      <w:r w:rsidRPr="004D0EEC">
        <w:rPr>
          <w:rFonts w:ascii="David" w:hAnsi="David" w:hint="cs"/>
          <w:rtl/>
        </w:rPr>
        <w:t>פרוטוקול סעד זמני, עמ'</w:t>
      </w:r>
      <w:r>
        <w:rPr>
          <w:rFonts w:ascii="David" w:hAnsi="David" w:hint="cs"/>
          <w:rtl/>
        </w:rPr>
        <w:t xml:space="preserve"> 7 שו' 25), והתחתנה בשנת 2009 (עמ' 99 לפרו' שו' 18) </w:t>
      </w:r>
      <w:r>
        <w:rPr>
          <w:rFonts w:ascii="David" w:hAnsi="David"/>
          <w:rtl/>
        </w:rPr>
        <w:t>–</w:t>
      </w:r>
      <w:r>
        <w:rPr>
          <w:rFonts w:ascii="David" w:hAnsi="David" w:hint="cs"/>
          <w:rtl/>
        </w:rPr>
        <w:t xml:space="preserve"> (להלן: </w:t>
      </w:r>
      <w:r>
        <w:rPr>
          <w:rFonts w:ascii="David" w:hAnsi="David" w:hint="cs"/>
          <w:b/>
          <w:bCs/>
          <w:rtl/>
        </w:rPr>
        <w:t>"</w:t>
      </w:r>
      <w:r w:rsidR="00E01B3D">
        <w:rPr>
          <w:rFonts w:ascii="David" w:hAnsi="David" w:hint="cs"/>
          <w:b/>
          <w:bCs/>
          <w:rtl/>
        </w:rPr>
        <w:t xml:space="preserve">מ' </w:t>
      </w:r>
      <w:r>
        <w:rPr>
          <w:rFonts w:ascii="David" w:hAnsi="David" w:hint="cs"/>
          <w:b/>
          <w:bCs/>
          <w:rtl/>
        </w:rPr>
        <w:t>"</w:t>
      </w:r>
      <w:r>
        <w:rPr>
          <w:rFonts w:ascii="David" w:hAnsi="David" w:hint="cs"/>
          <w:rtl/>
        </w:rPr>
        <w:t>).</w:t>
      </w:r>
    </w:p>
    <w:p w:rsidR="00D513AA" w:rsidRDefault="00D513AA" w:rsidP="00E01B3D">
      <w:pPr>
        <w:spacing w:after="120" w:line="360" w:lineRule="auto"/>
        <w:ind w:left="720" w:hanging="720"/>
        <w:jc w:val="both"/>
        <w:rPr>
          <w:rFonts w:ascii="David" w:hAnsi="David"/>
          <w:rtl/>
        </w:rPr>
      </w:pPr>
      <w:r>
        <w:rPr>
          <w:rFonts w:ascii="David" w:hAnsi="David" w:hint="cs"/>
          <w:rtl/>
        </w:rPr>
        <w:t>5.</w:t>
      </w:r>
      <w:r>
        <w:rPr>
          <w:rFonts w:ascii="David" w:hAnsi="David" w:hint="cs"/>
          <w:rtl/>
        </w:rPr>
        <w:tab/>
        <w:t xml:space="preserve">לבני הזוג </w:t>
      </w:r>
      <w:r w:rsidRPr="006A6019">
        <w:rPr>
          <w:rFonts w:ascii="David" w:hAnsi="David"/>
          <w:rtl/>
        </w:rPr>
        <w:t>שני ילדים נו</w:t>
      </w:r>
      <w:r>
        <w:rPr>
          <w:rFonts w:ascii="David" w:hAnsi="David"/>
          <w:rtl/>
        </w:rPr>
        <w:t xml:space="preserve">ספים מנישואיהם, </w:t>
      </w:r>
      <w:r w:rsidR="00E01B3D">
        <w:rPr>
          <w:rFonts w:ascii="David" w:hAnsi="David" w:hint="cs"/>
          <w:rtl/>
        </w:rPr>
        <w:t>א'</w:t>
      </w:r>
      <w:r w:rsidR="00E01B3D">
        <w:rPr>
          <w:rFonts w:ascii="David" w:hAnsi="David"/>
          <w:rtl/>
        </w:rPr>
        <w:t xml:space="preserve"> וג</w:t>
      </w:r>
      <w:r w:rsidR="00E01B3D">
        <w:rPr>
          <w:rFonts w:ascii="David" w:hAnsi="David" w:hint="cs"/>
          <w:rtl/>
        </w:rPr>
        <w:t>'</w:t>
      </w:r>
      <w:r>
        <w:rPr>
          <w:rFonts w:ascii="David" w:hAnsi="David" w:hint="cs"/>
          <w:rtl/>
        </w:rPr>
        <w:t xml:space="preserve">, שבמועד חתימת הסכם הגירושין היו קטינים. </w:t>
      </w:r>
    </w:p>
    <w:p w:rsidR="00D513AA" w:rsidRDefault="00D513AA" w:rsidP="00432342">
      <w:pPr>
        <w:spacing w:after="120" w:line="360" w:lineRule="auto"/>
        <w:ind w:left="720" w:hanging="720"/>
        <w:jc w:val="both"/>
        <w:rPr>
          <w:rFonts w:ascii="David" w:hAnsi="David"/>
          <w:rtl/>
        </w:rPr>
      </w:pPr>
      <w:r>
        <w:rPr>
          <w:rFonts w:ascii="David" w:hAnsi="David" w:hint="cs"/>
          <w:rtl/>
        </w:rPr>
        <w:t>6.</w:t>
      </w:r>
      <w:r>
        <w:rPr>
          <w:rFonts w:ascii="David" w:hAnsi="David" w:hint="cs"/>
          <w:rtl/>
        </w:rPr>
        <w:tab/>
        <w:t xml:space="preserve">כאמור, </w:t>
      </w:r>
      <w:r w:rsidRPr="006A6019">
        <w:rPr>
          <w:rFonts w:ascii="David" w:hAnsi="David"/>
          <w:rtl/>
        </w:rPr>
        <w:t>ביום 16.3.</w:t>
      </w:r>
      <w:r>
        <w:rPr>
          <w:rFonts w:ascii="David" w:hAnsi="David" w:hint="cs"/>
          <w:rtl/>
        </w:rPr>
        <w:t>2010</w:t>
      </w:r>
      <w:r w:rsidRPr="006A6019">
        <w:rPr>
          <w:rFonts w:ascii="David" w:hAnsi="David"/>
          <w:rtl/>
        </w:rPr>
        <w:t xml:space="preserve"> חתמו </w:t>
      </w:r>
      <w:r>
        <w:rPr>
          <w:rFonts w:ascii="David" w:hAnsi="David" w:hint="cs"/>
          <w:rtl/>
        </w:rPr>
        <w:t>בני הזוג</w:t>
      </w:r>
      <w:r w:rsidRPr="006A6019">
        <w:rPr>
          <w:rFonts w:ascii="David" w:hAnsi="David"/>
          <w:rtl/>
        </w:rPr>
        <w:t xml:space="preserve"> על הסכם </w:t>
      </w:r>
      <w:r>
        <w:rPr>
          <w:rFonts w:ascii="David" w:hAnsi="David" w:hint="cs"/>
          <w:rtl/>
        </w:rPr>
        <w:t>ה</w:t>
      </w:r>
      <w:r w:rsidRPr="006A6019">
        <w:rPr>
          <w:rFonts w:ascii="David" w:hAnsi="David"/>
          <w:rtl/>
        </w:rPr>
        <w:t>גירושין</w:t>
      </w:r>
      <w:r>
        <w:rPr>
          <w:rFonts w:ascii="David" w:hAnsi="David"/>
          <w:rtl/>
        </w:rPr>
        <w:t>, אשר אושר בדיון שהתקיים במעמד</w:t>
      </w:r>
      <w:r>
        <w:rPr>
          <w:rFonts w:ascii="David" w:hAnsi="David" w:hint="cs"/>
          <w:rtl/>
        </w:rPr>
        <w:t xml:space="preserve">ם </w:t>
      </w:r>
      <w:r w:rsidRPr="006A6019">
        <w:rPr>
          <w:rFonts w:ascii="David" w:hAnsi="David"/>
          <w:rtl/>
        </w:rPr>
        <w:t>בבית הדי</w:t>
      </w:r>
      <w:r>
        <w:rPr>
          <w:rFonts w:ascii="David" w:hAnsi="David"/>
          <w:rtl/>
        </w:rPr>
        <w:t>ן הכנסייתי ביום 30.4.</w:t>
      </w:r>
      <w:r>
        <w:rPr>
          <w:rFonts w:ascii="David" w:hAnsi="David" w:hint="cs"/>
          <w:rtl/>
        </w:rPr>
        <w:t xml:space="preserve">2010. </w:t>
      </w:r>
    </w:p>
    <w:p w:rsidR="00D513AA" w:rsidRDefault="00D513AA" w:rsidP="00C82597">
      <w:pPr>
        <w:spacing w:after="120" w:line="360" w:lineRule="auto"/>
        <w:ind w:left="720" w:hanging="720"/>
        <w:jc w:val="both"/>
        <w:rPr>
          <w:rFonts w:ascii="David" w:hAnsi="David"/>
          <w:rtl/>
        </w:rPr>
      </w:pPr>
      <w:r>
        <w:rPr>
          <w:rFonts w:ascii="David" w:hAnsi="David" w:hint="cs"/>
          <w:rtl/>
        </w:rPr>
        <w:t>7.</w:t>
      </w:r>
      <w:r>
        <w:rPr>
          <w:rFonts w:ascii="David" w:hAnsi="David" w:hint="cs"/>
          <w:rtl/>
        </w:rPr>
        <w:tab/>
      </w:r>
      <w:r w:rsidRPr="006A6019">
        <w:rPr>
          <w:rFonts w:ascii="David" w:hAnsi="David"/>
          <w:rtl/>
        </w:rPr>
        <w:t xml:space="preserve">בהסכם הגירושין חילקו </w:t>
      </w:r>
      <w:r>
        <w:rPr>
          <w:rFonts w:ascii="David" w:hAnsi="David" w:hint="cs"/>
          <w:rtl/>
        </w:rPr>
        <w:t>בני הזוג</w:t>
      </w:r>
      <w:r w:rsidRPr="006A6019">
        <w:rPr>
          <w:rFonts w:ascii="David" w:hAnsi="David"/>
          <w:rtl/>
        </w:rPr>
        <w:t xml:space="preserve"> את המשמורת על שני ילדיהם הקטינים (באותה עת), </w:t>
      </w:r>
      <w:r w:rsidR="00C82597">
        <w:rPr>
          <w:rFonts w:ascii="David" w:hAnsi="David" w:hint="cs"/>
          <w:rtl/>
        </w:rPr>
        <w:t>א'</w:t>
      </w:r>
      <w:r w:rsidR="00C82597">
        <w:rPr>
          <w:rFonts w:ascii="David" w:hAnsi="David"/>
          <w:rtl/>
        </w:rPr>
        <w:t xml:space="preserve"> וג'</w:t>
      </w:r>
      <w:r w:rsidRPr="006A6019">
        <w:rPr>
          <w:rFonts w:ascii="David" w:hAnsi="David"/>
          <w:rtl/>
        </w:rPr>
        <w:t xml:space="preserve"> כך שכל אחד מהילדים עבר להתגור</w:t>
      </w:r>
      <w:r>
        <w:rPr>
          <w:rFonts w:ascii="David" w:hAnsi="David"/>
          <w:rtl/>
        </w:rPr>
        <w:t>ר עם אחד מהוריו</w:t>
      </w:r>
      <w:r w:rsidRPr="006A6019">
        <w:rPr>
          <w:rFonts w:ascii="David" w:hAnsi="David"/>
          <w:rtl/>
        </w:rPr>
        <w:t>, והגיעו להבנות ביחס לכלל ענייניהם של הקטינים.</w:t>
      </w:r>
    </w:p>
    <w:p w:rsidR="00D513AA" w:rsidRDefault="00D513AA" w:rsidP="00432342">
      <w:pPr>
        <w:spacing w:after="120" w:line="360" w:lineRule="auto"/>
        <w:ind w:left="720" w:hanging="720"/>
        <w:jc w:val="both"/>
        <w:rPr>
          <w:rFonts w:ascii="David" w:hAnsi="David"/>
          <w:rtl/>
        </w:rPr>
      </w:pPr>
      <w:r>
        <w:rPr>
          <w:rFonts w:ascii="David" w:hAnsi="David" w:hint="cs"/>
          <w:rtl/>
        </w:rPr>
        <w:t>8.</w:t>
      </w:r>
      <w:r>
        <w:rPr>
          <w:rFonts w:ascii="David" w:hAnsi="David" w:hint="cs"/>
          <w:rtl/>
        </w:rPr>
        <w:tab/>
        <w:t>א.</w:t>
      </w:r>
      <w:r>
        <w:rPr>
          <w:rFonts w:ascii="David" w:hAnsi="David" w:hint="cs"/>
          <w:rtl/>
        </w:rPr>
        <w:tab/>
        <w:t xml:space="preserve">בהסכם הגירושין גם הגיעו בני הזוג </w:t>
      </w:r>
      <w:r w:rsidRPr="006A6019">
        <w:rPr>
          <w:rFonts w:ascii="David" w:hAnsi="David"/>
          <w:rtl/>
        </w:rPr>
        <w:t>להסכמות ביחס לרכושם המשותף.</w:t>
      </w:r>
      <w:r>
        <w:rPr>
          <w:rFonts w:ascii="David" w:hAnsi="David" w:hint="cs"/>
          <w:rtl/>
        </w:rPr>
        <w:t xml:space="preserve"> </w:t>
      </w:r>
    </w:p>
    <w:p w:rsidR="00D513AA" w:rsidRDefault="00D513AA" w:rsidP="00C82597">
      <w:pPr>
        <w:spacing w:after="120" w:line="360" w:lineRule="auto"/>
        <w:ind w:left="1440" w:hanging="720"/>
        <w:jc w:val="both"/>
        <w:rPr>
          <w:rFonts w:ascii="David" w:hAnsi="David"/>
          <w:rtl/>
        </w:rPr>
      </w:pPr>
      <w:r>
        <w:rPr>
          <w:rFonts w:ascii="David" w:hAnsi="David" w:hint="cs"/>
          <w:rtl/>
        </w:rPr>
        <w:t>ב.</w:t>
      </w:r>
      <w:r>
        <w:rPr>
          <w:rFonts w:ascii="David" w:hAnsi="David" w:hint="cs"/>
          <w:rtl/>
        </w:rPr>
        <w:tab/>
      </w:r>
      <w:r w:rsidRPr="006A6019">
        <w:rPr>
          <w:rFonts w:ascii="David" w:hAnsi="David"/>
          <w:rtl/>
        </w:rPr>
        <w:t>בסע</w:t>
      </w:r>
      <w:r>
        <w:rPr>
          <w:rFonts w:ascii="David" w:hAnsi="David" w:hint="cs"/>
          <w:rtl/>
        </w:rPr>
        <w:t>יף</w:t>
      </w:r>
      <w:r w:rsidRPr="006A6019">
        <w:rPr>
          <w:rFonts w:ascii="David" w:hAnsi="David"/>
          <w:rtl/>
        </w:rPr>
        <w:t xml:space="preserve"> 10 להסכם</w:t>
      </w:r>
      <w:r>
        <w:rPr>
          <w:rFonts w:ascii="David" w:hAnsi="David" w:hint="cs"/>
          <w:rtl/>
        </w:rPr>
        <w:t xml:space="preserve"> הגירושין</w:t>
      </w:r>
      <w:r w:rsidRPr="006A6019">
        <w:rPr>
          <w:rFonts w:ascii="David" w:hAnsi="David"/>
          <w:rtl/>
        </w:rPr>
        <w:t xml:space="preserve"> נרשם כי </w:t>
      </w:r>
      <w:r>
        <w:rPr>
          <w:rFonts w:ascii="David" w:hAnsi="David" w:hint="cs"/>
          <w:rtl/>
        </w:rPr>
        <w:t>האישה</w:t>
      </w:r>
      <w:r w:rsidRPr="006A6019">
        <w:rPr>
          <w:rFonts w:ascii="David" w:hAnsi="David"/>
          <w:rtl/>
        </w:rPr>
        <w:t xml:space="preserve"> מוותרת על זכויותיה בנכס הנמצא ברח' </w:t>
      </w:r>
      <w:r w:rsidR="00C82597">
        <w:rPr>
          <w:rFonts w:ascii="David" w:hAnsi="David" w:hint="cs"/>
          <w:rtl/>
        </w:rPr>
        <w:t xml:space="preserve">... </w:t>
      </w:r>
      <w:r w:rsidR="00C82597">
        <w:rPr>
          <w:rFonts w:ascii="David" w:hAnsi="David"/>
          <w:rtl/>
        </w:rPr>
        <w:t>ב</w:t>
      </w:r>
      <w:r w:rsidR="00C82597">
        <w:rPr>
          <w:rFonts w:ascii="David" w:hAnsi="David" w:hint="cs"/>
          <w:rtl/>
        </w:rPr>
        <w:t>עיר ...</w:t>
      </w:r>
      <w:r w:rsidRPr="006A6019">
        <w:rPr>
          <w:rFonts w:ascii="David" w:hAnsi="David"/>
          <w:rtl/>
        </w:rPr>
        <w:t xml:space="preserve">, ואשר היה רשום ע"ש שני הצדדים, והזכויות בו ירשמו ע"ש </w:t>
      </w:r>
      <w:r>
        <w:rPr>
          <w:rFonts w:ascii="David" w:hAnsi="David" w:hint="cs"/>
          <w:rtl/>
        </w:rPr>
        <w:t>האיש</w:t>
      </w:r>
      <w:r w:rsidRPr="006A6019">
        <w:rPr>
          <w:rFonts w:ascii="David" w:hAnsi="David"/>
          <w:rtl/>
        </w:rPr>
        <w:t xml:space="preserve"> בלבד.</w:t>
      </w:r>
    </w:p>
    <w:p w:rsidR="00D513AA" w:rsidRPr="006A6019" w:rsidRDefault="00D513AA" w:rsidP="00432342">
      <w:pPr>
        <w:spacing w:after="120" w:line="360" w:lineRule="auto"/>
        <w:ind w:firstLine="720"/>
        <w:jc w:val="both"/>
        <w:rPr>
          <w:rFonts w:ascii="David" w:hAnsi="David"/>
          <w:rtl/>
        </w:rPr>
      </w:pPr>
      <w:r>
        <w:rPr>
          <w:rFonts w:ascii="David" w:hAnsi="David" w:hint="cs"/>
          <w:rtl/>
        </w:rPr>
        <w:t>ג.</w:t>
      </w:r>
      <w:r>
        <w:rPr>
          <w:rFonts w:ascii="David" w:hAnsi="David" w:hint="cs"/>
          <w:rtl/>
        </w:rPr>
        <w:tab/>
      </w:r>
      <w:r w:rsidRPr="006A6019">
        <w:rPr>
          <w:rFonts w:ascii="David" w:hAnsi="David"/>
          <w:u w:val="single"/>
          <w:rtl/>
        </w:rPr>
        <w:t>בסע</w:t>
      </w:r>
      <w:r w:rsidRPr="006A6019">
        <w:rPr>
          <w:rFonts w:ascii="David" w:hAnsi="David" w:hint="cs"/>
          <w:u w:val="single"/>
          <w:rtl/>
        </w:rPr>
        <w:t>יף</w:t>
      </w:r>
      <w:r w:rsidRPr="006A6019">
        <w:rPr>
          <w:rFonts w:ascii="David" w:hAnsi="David"/>
          <w:u w:val="single"/>
          <w:rtl/>
        </w:rPr>
        <w:t xml:space="preserve"> 11 להסכם</w:t>
      </w:r>
      <w:r w:rsidRPr="006A6019">
        <w:rPr>
          <w:rFonts w:ascii="David" w:hAnsi="David" w:hint="cs"/>
          <w:u w:val="single"/>
          <w:rtl/>
        </w:rPr>
        <w:t xml:space="preserve"> הגירושין</w:t>
      </w:r>
      <w:r w:rsidRPr="006A6019">
        <w:rPr>
          <w:rFonts w:ascii="David" w:hAnsi="David"/>
          <w:u w:val="single"/>
          <w:rtl/>
        </w:rPr>
        <w:t xml:space="preserve"> נקבע, כי </w:t>
      </w:r>
      <w:r>
        <w:rPr>
          <w:rFonts w:ascii="David" w:hAnsi="David" w:hint="cs"/>
          <w:rtl/>
        </w:rPr>
        <w:t>:</w:t>
      </w:r>
    </w:p>
    <w:p w:rsidR="00D513AA" w:rsidRPr="006A6019" w:rsidRDefault="00D513AA" w:rsidP="00C82597">
      <w:pPr>
        <w:tabs>
          <w:tab w:val="left" w:pos="6888"/>
          <w:tab w:val="left" w:pos="8164"/>
        </w:tabs>
        <w:spacing w:after="120" w:line="360" w:lineRule="auto"/>
        <w:ind w:left="2160" w:right="567"/>
        <w:jc w:val="both"/>
        <w:rPr>
          <w:rFonts w:ascii="David" w:hAnsi="David"/>
          <w:rtl/>
        </w:rPr>
      </w:pPr>
      <w:r w:rsidRPr="006A6019">
        <w:rPr>
          <w:rFonts w:ascii="David" w:hAnsi="David"/>
          <w:b/>
          <w:bCs/>
          <w:rtl/>
        </w:rPr>
        <w:t xml:space="preserve">"החנות ברח' </w:t>
      </w:r>
      <w:r w:rsidR="00C82597">
        <w:rPr>
          <w:rFonts w:ascii="David" w:hAnsi="David" w:hint="cs"/>
          <w:b/>
          <w:bCs/>
          <w:rtl/>
        </w:rPr>
        <w:t>...</w:t>
      </w:r>
      <w:r w:rsidRPr="006A6019">
        <w:rPr>
          <w:rFonts w:ascii="David" w:hAnsi="David"/>
          <w:b/>
          <w:bCs/>
          <w:rtl/>
        </w:rPr>
        <w:t xml:space="preserve"> והרשומה על שם הבעל תו</w:t>
      </w:r>
      <w:r w:rsidR="00C82597">
        <w:rPr>
          <w:rFonts w:ascii="David" w:hAnsi="David"/>
          <w:b/>
          <w:bCs/>
          <w:rtl/>
        </w:rPr>
        <w:t>עבר ע"פ בקשת האישה לשם הבת מ</w:t>
      </w:r>
      <w:r w:rsidR="00C82597">
        <w:rPr>
          <w:rFonts w:ascii="David" w:hAnsi="David" w:hint="cs"/>
          <w:b/>
          <w:bCs/>
          <w:rtl/>
        </w:rPr>
        <w:t>'</w:t>
      </w:r>
      <w:r w:rsidRPr="006A6019">
        <w:rPr>
          <w:rFonts w:ascii="David" w:hAnsi="David"/>
          <w:b/>
          <w:bCs/>
          <w:rtl/>
        </w:rPr>
        <w:t xml:space="preserve"> ותהיה בבעלותה הייחודית, הבעל מתחייב לחתום על כל המסמכים הדרושים </w:t>
      </w:r>
      <w:r w:rsidR="00C82597">
        <w:rPr>
          <w:rFonts w:ascii="David" w:hAnsi="David"/>
          <w:b/>
          <w:bCs/>
          <w:rtl/>
        </w:rPr>
        <w:t>לצורך ביצוע ההעברה לשם הבת מ</w:t>
      </w:r>
      <w:r w:rsidR="00C82597">
        <w:rPr>
          <w:rFonts w:ascii="David" w:hAnsi="David" w:hint="cs"/>
          <w:b/>
          <w:bCs/>
          <w:rtl/>
        </w:rPr>
        <w:t xml:space="preserve">' </w:t>
      </w:r>
      <w:r w:rsidRPr="006A6019">
        <w:rPr>
          <w:rFonts w:ascii="David" w:hAnsi="David"/>
          <w:b/>
          <w:bCs/>
          <w:rtl/>
        </w:rPr>
        <w:t>".</w:t>
      </w:r>
    </w:p>
    <w:p w:rsidR="00D513AA" w:rsidRPr="006A6019" w:rsidRDefault="00D513AA" w:rsidP="00432342">
      <w:pPr>
        <w:spacing w:after="120" w:line="360" w:lineRule="auto"/>
        <w:ind w:left="720" w:firstLine="720"/>
        <w:jc w:val="both"/>
        <w:rPr>
          <w:rFonts w:ascii="David" w:hAnsi="David"/>
          <w:rtl/>
        </w:rPr>
      </w:pPr>
      <w:r w:rsidRPr="006A6019">
        <w:rPr>
          <w:rFonts w:ascii="David" w:hAnsi="David"/>
          <w:u w:val="single"/>
          <w:rtl/>
        </w:rPr>
        <w:t>בסע</w:t>
      </w:r>
      <w:r>
        <w:rPr>
          <w:rFonts w:ascii="David" w:hAnsi="David" w:hint="cs"/>
          <w:u w:val="single"/>
          <w:rtl/>
        </w:rPr>
        <w:t>יף</w:t>
      </w:r>
      <w:r w:rsidRPr="006A6019">
        <w:rPr>
          <w:rFonts w:ascii="David" w:hAnsi="David"/>
          <w:u w:val="single"/>
          <w:rtl/>
        </w:rPr>
        <w:t xml:space="preserve"> 1</w:t>
      </w:r>
      <w:r>
        <w:rPr>
          <w:rFonts w:ascii="David" w:hAnsi="David"/>
          <w:u w:val="single"/>
          <w:rtl/>
        </w:rPr>
        <w:t xml:space="preserve">1.1 להסכם הוסיף </w:t>
      </w:r>
      <w:r>
        <w:rPr>
          <w:rFonts w:ascii="David" w:hAnsi="David" w:hint="cs"/>
          <w:u w:val="single"/>
          <w:rtl/>
        </w:rPr>
        <w:t>האיש</w:t>
      </w:r>
      <w:r>
        <w:rPr>
          <w:rFonts w:ascii="David" w:hAnsi="David"/>
          <w:u w:val="single"/>
          <w:rtl/>
        </w:rPr>
        <w:t xml:space="preserve"> בכתב ידו</w:t>
      </w:r>
      <w:r>
        <w:rPr>
          <w:rFonts w:ascii="David" w:hAnsi="David" w:hint="cs"/>
          <w:rtl/>
        </w:rPr>
        <w:t>:</w:t>
      </w:r>
    </w:p>
    <w:p w:rsidR="00D513AA" w:rsidRPr="006A6019" w:rsidRDefault="00D513AA" w:rsidP="00432342">
      <w:pPr>
        <w:spacing w:after="120" w:line="360" w:lineRule="auto"/>
        <w:ind w:left="2160" w:right="142"/>
        <w:jc w:val="both"/>
        <w:rPr>
          <w:rFonts w:ascii="David" w:hAnsi="David"/>
          <w:rtl/>
        </w:rPr>
      </w:pPr>
      <w:r w:rsidRPr="006A6019">
        <w:rPr>
          <w:rFonts w:ascii="David" w:hAnsi="David"/>
          <w:b/>
          <w:bCs/>
          <w:rtl/>
        </w:rPr>
        <w:t>"החנות תנוהל על ידי האישה וכולל רווחים והפסדים, הכל שייך לה".</w:t>
      </w:r>
    </w:p>
    <w:p w:rsidR="00D513AA" w:rsidRPr="006A6019" w:rsidRDefault="00D513AA" w:rsidP="00432342">
      <w:pPr>
        <w:spacing w:after="120" w:line="360" w:lineRule="auto"/>
        <w:ind w:left="720" w:hanging="720"/>
        <w:jc w:val="both"/>
        <w:rPr>
          <w:rFonts w:ascii="David" w:hAnsi="David"/>
          <w:rtl/>
        </w:rPr>
      </w:pPr>
      <w:r>
        <w:rPr>
          <w:rFonts w:ascii="David" w:hAnsi="David" w:hint="cs"/>
          <w:rtl/>
        </w:rPr>
        <w:t>9.</w:t>
      </w:r>
      <w:r>
        <w:rPr>
          <w:rFonts w:ascii="David" w:hAnsi="David" w:hint="cs"/>
          <w:rtl/>
        </w:rPr>
        <w:tab/>
        <w:t>הסכסוך נשוא התובענות קמא סובב סביב החנות, וזאת בהתייחס לסעיף 11 להסכם הגירושין</w:t>
      </w:r>
      <w:r w:rsidR="00C82597">
        <w:rPr>
          <w:rFonts w:ascii="David" w:hAnsi="David" w:hint="cs"/>
          <w:rtl/>
        </w:rPr>
        <w:t xml:space="preserve"> ושני תצהירים נוספים שנתנה מ'</w:t>
      </w:r>
      <w:r>
        <w:rPr>
          <w:rFonts w:ascii="David" w:hAnsi="David" w:hint="cs"/>
          <w:rtl/>
        </w:rPr>
        <w:t>, כפי שיפורט מיד.</w:t>
      </w:r>
    </w:p>
    <w:p w:rsidR="00D513AA" w:rsidRDefault="00D513AA" w:rsidP="00432342">
      <w:pPr>
        <w:spacing w:after="120" w:line="360" w:lineRule="auto"/>
        <w:jc w:val="both"/>
        <w:rPr>
          <w:rFonts w:ascii="David" w:hAnsi="David"/>
          <w:rtl/>
        </w:rPr>
      </w:pPr>
      <w:r>
        <w:rPr>
          <w:rFonts w:ascii="David" w:hAnsi="David"/>
        </w:rPr>
        <w:lastRenderedPageBreak/>
        <w:t>10</w:t>
      </w:r>
      <w:r w:rsidRPr="006A6019">
        <w:rPr>
          <w:rFonts w:ascii="David" w:hAnsi="David"/>
          <w:rtl/>
        </w:rPr>
        <w:t>.</w:t>
      </w:r>
      <w:r w:rsidRPr="006A6019">
        <w:rPr>
          <w:rFonts w:ascii="David" w:hAnsi="David"/>
          <w:rtl/>
        </w:rPr>
        <w:tab/>
      </w:r>
      <w:r w:rsidRPr="00E76BAD">
        <w:rPr>
          <w:rFonts w:ascii="David" w:hAnsi="David"/>
          <w:u w:val="single"/>
          <w:rtl/>
        </w:rPr>
        <w:t xml:space="preserve">ביום 2.9.11 חתמה </w:t>
      </w:r>
      <w:r w:rsidR="00E94E05">
        <w:rPr>
          <w:rFonts w:ascii="David" w:hAnsi="David" w:hint="cs"/>
          <w:u w:val="single"/>
          <w:rtl/>
        </w:rPr>
        <w:t>מ</w:t>
      </w:r>
      <w:r w:rsidR="00E94E05">
        <w:rPr>
          <w:rFonts w:ascii="David" w:hAnsi="David"/>
          <w:u w:val="single"/>
          <w:rtl/>
        </w:rPr>
        <w:t>'</w:t>
      </w:r>
      <w:r w:rsidRPr="00E76BAD">
        <w:rPr>
          <w:rFonts w:ascii="David" w:hAnsi="David"/>
          <w:u w:val="single"/>
          <w:rtl/>
        </w:rPr>
        <w:t xml:space="preserve"> על תצהיר בו נרשם</w:t>
      </w:r>
      <w:r w:rsidRPr="00E76BAD">
        <w:rPr>
          <w:rFonts w:ascii="David" w:hAnsi="David" w:hint="cs"/>
          <w:u w:val="single"/>
          <w:rtl/>
        </w:rPr>
        <w:t>, בין היתר, כדלקמן</w:t>
      </w:r>
      <w:r>
        <w:rPr>
          <w:rFonts w:ascii="David" w:hAnsi="David" w:hint="cs"/>
          <w:rtl/>
        </w:rPr>
        <w:t>:</w:t>
      </w:r>
    </w:p>
    <w:p w:rsidR="00D513AA" w:rsidRDefault="00D513AA" w:rsidP="00432342">
      <w:pPr>
        <w:spacing w:after="120" w:line="360" w:lineRule="auto"/>
        <w:ind w:left="1502" w:right="567"/>
        <w:jc w:val="both"/>
        <w:rPr>
          <w:rFonts w:ascii="David" w:hAnsi="David"/>
          <w:b/>
          <w:bCs/>
          <w:rtl/>
        </w:rPr>
      </w:pPr>
      <w:r>
        <w:rPr>
          <w:rFonts w:ascii="David" w:hAnsi="David" w:hint="cs"/>
          <w:b/>
          <w:bCs/>
          <w:rtl/>
        </w:rPr>
        <w:t>"2.</w:t>
      </w:r>
      <w:r>
        <w:rPr>
          <w:rFonts w:ascii="David" w:hAnsi="David" w:hint="cs"/>
          <w:b/>
          <w:bCs/>
          <w:rtl/>
        </w:rPr>
        <w:tab/>
        <w:t xml:space="preserve">אני מאשרת כי רשומים בשמי או עומדים להירשם בשמי </w:t>
      </w:r>
      <w:r>
        <w:rPr>
          <w:rFonts w:ascii="David" w:hAnsi="David"/>
          <w:b/>
          <w:bCs/>
          <w:rtl/>
        </w:rPr>
        <w:tab/>
      </w:r>
      <w:r>
        <w:rPr>
          <w:rFonts w:ascii="David" w:hAnsi="David" w:hint="cs"/>
          <w:b/>
          <w:bCs/>
          <w:rtl/>
        </w:rPr>
        <w:t xml:space="preserve">הנכסים </w:t>
      </w:r>
      <w:r>
        <w:rPr>
          <w:rFonts w:ascii="David" w:hAnsi="David"/>
          <w:b/>
          <w:bCs/>
          <w:rtl/>
        </w:rPr>
        <w:tab/>
      </w:r>
      <w:r>
        <w:rPr>
          <w:rFonts w:ascii="David" w:hAnsi="David" w:hint="cs"/>
          <w:b/>
          <w:bCs/>
          <w:rtl/>
        </w:rPr>
        <w:t>הבאים:</w:t>
      </w:r>
    </w:p>
    <w:p w:rsidR="00D513AA" w:rsidRDefault="00D513AA" w:rsidP="00432342">
      <w:pPr>
        <w:spacing w:after="120" w:line="360" w:lineRule="auto"/>
        <w:ind w:left="1502" w:right="567"/>
        <w:jc w:val="both"/>
        <w:rPr>
          <w:rFonts w:ascii="David" w:hAnsi="David"/>
          <w:b/>
          <w:bCs/>
          <w:rtl/>
        </w:rPr>
      </w:pPr>
      <w:r>
        <w:rPr>
          <w:rFonts w:ascii="David" w:hAnsi="David"/>
          <w:b/>
          <w:bCs/>
          <w:rtl/>
        </w:rPr>
        <w:tab/>
      </w:r>
      <w:r>
        <w:rPr>
          <w:rFonts w:ascii="David" w:hAnsi="David" w:hint="cs"/>
          <w:b/>
          <w:bCs/>
          <w:rtl/>
        </w:rPr>
        <w:t xml:space="preserve">החנות... </w:t>
      </w:r>
      <w:r w:rsidRPr="004926AF">
        <w:rPr>
          <w:rFonts w:ascii="David" w:hAnsi="David" w:hint="cs"/>
          <w:rtl/>
        </w:rPr>
        <w:t>(החנות דנן, ח"ש)</w:t>
      </w:r>
      <w:r>
        <w:rPr>
          <w:rFonts w:ascii="David" w:hAnsi="David" w:hint="cs"/>
          <w:b/>
          <w:bCs/>
          <w:rtl/>
        </w:rPr>
        <w:t xml:space="preserve"> עם כל הסחורה והמטלטלין שבתוכה.</w:t>
      </w:r>
    </w:p>
    <w:p w:rsidR="00D513AA" w:rsidRDefault="00D513AA" w:rsidP="00432342">
      <w:pPr>
        <w:spacing w:after="120" w:line="360" w:lineRule="auto"/>
        <w:ind w:left="1502" w:right="567"/>
        <w:jc w:val="both"/>
        <w:rPr>
          <w:rFonts w:ascii="David" w:hAnsi="David"/>
          <w:b/>
          <w:bCs/>
          <w:rtl/>
        </w:rPr>
      </w:pPr>
      <w:r>
        <w:rPr>
          <w:rFonts w:ascii="David" w:hAnsi="David"/>
          <w:b/>
          <w:bCs/>
          <w:rtl/>
        </w:rPr>
        <w:tab/>
      </w:r>
      <w:r>
        <w:rPr>
          <w:rFonts w:ascii="David" w:hAnsi="David" w:hint="cs"/>
          <w:b/>
          <w:bCs/>
          <w:rtl/>
        </w:rPr>
        <w:t xml:space="preserve">מכונית פרטית... (להלן: המכונית). </w:t>
      </w:r>
    </w:p>
    <w:p w:rsidR="00D513AA" w:rsidRDefault="00D513AA" w:rsidP="00432342">
      <w:pPr>
        <w:spacing w:after="120" w:line="360" w:lineRule="auto"/>
        <w:ind w:left="1502" w:right="567"/>
        <w:jc w:val="both"/>
        <w:rPr>
          <w:rFonts w:ascii="David" w:hAnsi="David"/>
          <w:b/>
          <w:bCs/>
          <w:rtl/>
        </w:rPr>
      </w:pPr>
      <w:r>
        <w:rPr>
          <w:rFonts w:ascii="David" w:hAnsi="David" w:hint="cs"/>
          <w:b/>
          <w:bCs/>
          <w:rtl/>
        </w:rPr>
        <w:t>3.</w:t>
      </w:r>
      <w:r>
        <w:rPr>
          <w:rFonts w:ascii="David" w:hAnsi="David" w:hint="cs"/>
          <w:b/>
          <w:bCs/>
          <w:rtl/>
        </w:rPr>
        <w:tab/>
        <w:t xml:space="preserve">אני מצהירה כי החנות והמכונית הנ"ל הם רכוש של אמי... </w:t>
      </w:r>
      <w:r w:rsidRPr="004926AF">
        <w:rPr>
          <w:rFonts w:ascii="David" w:hAnsi="David" w:hint="cs"/>
          <w:rtl/>
        </w:rPr>
        <w:t>(האישה, ח"ש)</w:t>
      </w:r>
      <w:r>
        <w:rPr>
          <w:rFonts w:ascii="David" w:hAnsi="David" w:hint="cs"/>
          <w:b/>
          <w:bCs/>
          <w:rtl/>
        </w:rPr>
        <w:t xml:space="preserve"> וכי </w:t>
      </w:r>
      <w:r w:rsidR="0054445B">
        <w:rPr>
          <w:rFonts w:ascii="David" w:hAnsi="David"/>
          <w:b/>
          <w:bCs/>
          <w:rtl/>
        </w:rPr>
        <w:tab/>
      </w:r>
      <w:r>
        <w:rPr>
          <w:rFonts w:ascii="David" w:hAnsi="David" w:hint="cs"/>
          <w:b/>
          <w:bCs/>
          <w:rtl/>
        </w:rPr>
        <w:t xml:space="preserve">החנות ותכולתה והמכונית רשומים בשמי בנאמנות וללא תמורה לטובת אמי </w:t>
      </w:r>
      <w:r w:rsidR="0054445B">
        <w:rPr>
          <w:rFonts w:ascii="David" w:hAnsi="David"/>
          <w:b/>
          <w:bCs/>
          <w:rtl/>
        </w:rPr>
        <w:tab/>
      </w:r>
      <w:r>
        <w:rPr>
          <w:rFonts w:ascii="David" w:hAnsi="David" w:hint="cs"/>
          <w:b/>
          <w:bCs/>
          <w:rtl/>
        </w:rPr>
        <w:t xml:space="preserve">הנ"ל, וכי ברגע שהיא תבקש ממני להעביר אותם לשם שלה אני מתחייבת </w:t>
      </w:r>
      <w:r w:rsidR="0054445B">
        <w:rPr>
          <w:rFonts w:ascii="David" w:hAnsi="David"/>
          <w:b/>
          <w:bCs/>
          <w:rtl/>
        </w:rPr>
        <w:tab/>
      </w:r>
      <w:r>
        <w:rPr>
          <w:rFonts w:ascii="David" w:hAnsi="David" w:hint="cs"/>
          <w:b/>
          <w:bCs/>
          <w:rtl/>
        </w:rPr>
        <w:t xml:space="preserve">לעשות </w:t>
      </w:r>
      <w:r>
        <w:rPr>
          <w:rFonts w:ascii="David" w:hAnsi="David"/>
          <w:b/>
          <w:bCs/>
          <w:rtl/>
        </w:rPr>
        <w:tab/>
      </w:r>
      <w:r>
        <w:rPr>
          <w:rFonts w:ascii="David" w:hAnsi="David" w:hint="cs"/>
          <w:b/>
          <w:bCs/>
          <w:rtl/>
        </w:rPr>
        <w:t>זאת מיד.</w:t>
      </w:r>
    </w:p>
    <w:p w:rsidR="00D513AA" w:rsidRDefault="00D513AA" w:rsidP="00432342">
      <w:pPr>
        <w:spacing w:after="120" w:line="360" w:lineRule="auto"/>
        <w:ind w:left="1502" w:right="567"/>
        <w:jc w:val="both"/>
        <w:rPr>
          <w:rFonts w:ascii="David" w:hAnsi="David"/>
          <w:b/>
          <w:bCs/>
          <w:rtl/>
        </w:rPr>
      </w:pPr>
      <w:r>
        <w:rPr>
          <w:rFonts w:ascii="David" w:hAnsi="David" w:hint="cs"/>
          <w:b/>
          <w:bCs/>
          <w:rtl/>
        </w:rPr>
        <w:t>4.</w:t>
      </w:r>
      <w:r>
        <w:rPr>
          <w:rFonts w:ascii="David" w:hAnsi="David" w:hint="cs"/>
          <w:b/>
          <w:bCs/>
          <w:rtl/>
        </w:rPr>
        <w:tab/>
        <w:t xml:space="preserve">אני מאשרת כי החנות ותכולתה והמכונית מוחזקות בידי אמי והם </w:t>
      </w:r>
      <w:r>
        <w:rPr>
          <w:rFonts w:ascii="David" w:hAnsi="David"/>
          <w:b/>
          <w:bCs/>
          <w:rtl/>
        </w:rPr>
        <w:tab/>
      </w:r>
      <w:r>
        <w:rPr>
          <w:rFonts w:ascii="David" w:hAnsi="David" w:hint="cs"/>
          <w:b/>
          <w:bCs/>
          <w:rtl/>
        </w:rPr>
        <w:t xml:space="preserve">בשימושה </w:t>
      </w:r>
      <w:r w:rsidR="00E94E05">
        <w:rPr>
          <w:rFonts w:ascii="David" w:hAnsi="David"/>
          <w:b/>
          <w:bCs/>
          <w:rtl/>
        </w:rPr>
        <w:tab/>
      </w:r>
      <w:r>
        <w:rPr>
          <w:rFonts w:ascii="David" w:hAnsi="David" w:hint="cs"/>
          <w:b/>
          <w:bCs/>
          <w:rtl/>
        </w:rPr>
        <w:t xml:space="preserve">הבלעדי ומנוהלות על ידה כל הזמן וכל ההכנסות מהחנות </w:t>
      </w:r>
      <w:r>
        <w:rPr>
          <w:rFonts w:ascii="David" w:hAnsi="David"/>
          <w:b/>
          <w:bCs/>
          <w:rtl/>
        </w:rPr>
        <w:tab/>
      </w:r>
      <w:r>
        <w:rPr>
          <w:rFonts w:ascii="David" w:hAnsi="David" w:hint="cs"/>
          <w:b/>
          <w:bCs/>
          <w:rtl/>
        </w:rPr>
        <w:t xml:space="preserve">ותכולתה שייכים לאמי </w:t>
      </w:r>
      <w:r w:rsidR="00E94E05">
        <w:rPr>
          <w:rFonts w:ascii="David" w:hAnsi="David"/>
          <w:b/>
          <w:bCs/>
          <w:rtl/>
        </w:rPr>
        <w:tab/>
      </w:r>
      <w:r>
        <w:rPr>
          <w:rFonts w:ascii="David" w:hAnsi="David" w:hint="cs"/>
          <w:b/>
          <w:bCs/>
          <w:rtl/>
        </w:rPr>
        <w:t xml:space="preserve">הנ"ל". </w:t>
      </w:r>
    </w:p>
    <w:p w:rsidR="006D4AC5" w:rsidRDefault="00D513AA" w:rsidP="00E94E05">
      <w:pPr>
        <w:spacing w:after="120" w:line="360" w:lineRule="auto"/>
        <w:ind w:left="793" w:right="851"/>
        <w:jc w:val="both"/>
        <w:rPr>
          <w:rFonts w:ascii="David" w:hAnsi="David"/>
          <w:rtl/>
        </w:rPr>
      </w:pPr>
      <w:r w:rsidRPr="000462A3">
        <w:rPr>
          <w:rFonts w:ascii="David" w:hAnsi="David" w:hint="cs"/>
          <w:rtl/>
        </w:rPr>
        <w:t>(להלן: "</w:t>
      </w:r>
      <w:r w:rsidRPr="000462A3">
        <w:rPr>
          <w:rFonts w:ascii="David" w:hAnsi="David" w:hint="cs"/>
          <w:b/>
          <w:bCs/>
          <w:rtl/>
        </w:rPr>
        <w:t>תצהיר</w:t>
      </w:r>
      <w:r w:rsidRPr="000462A3">
        <w:rPr>
          <w:rFonts w:ascii="David" w:hAnsi="David" w:hint="cs"/>
          <w:rtl/>
        </w:rPr>
        <w:t xml:space="preserve"> </w:t>
      </w:r>
      <w:r w:rsidRPr="000462A3">
        <w:rPr>
          <w:rFonts w:ascii="David" w:hAnsi="David" w:hint="cs"/>
          <w:b/>
          <w:bCs/>
          <w:rtl/>
        </w:rPr>
        <w:t>2011</w:t>
      </w:r>
      <w:r w:rsidRPr="000462A3">
        <w:rPr>
          <w:rFonts w:ascii="David" w:hAnsi="David" w:hint="cs"/>
          <w:rtl/>
        </w:rPr>
        <w:t>").</w:t>
      </w:r>
    </w:p>
    <w:p w:rsidR="00D513AA" w:rsidRDefault="00D513AA" w:rsidP="00432342">
      <w:pPr>
        <w:spacing w:after="120" w:line="360" w:lineRule="auto"/>
        <w:ind w:left="-58" w:right="851"/>
        <w:jc w:val="both"/>
        <w:rPr>
          <w:rFonts w:ascii="David" w:hAnsi="David"/>
          <w:rtl/>
        </w:rPr>
      </w:pPr>
      <w:r>
        <w:rPr>
          <w:rFonts w:ascii="David" w:hAnsi="David"/>
          <w:rtl/>
        </w:rPr>
        <w:tab/>
      </w:r>
      <w:r>
        <w:rPr>
          <w:rFonts w:ascii="David" w:hAnsi="David" w:hint="cs"/>
          <w:rtl/>
        </w:rPr>
        <w:t>11.</w:t>
      </w:r>
      <w:r>
        <w:rPr>
          <w:rFonts w:ascii="David" w:hAnsi="David" w:hint="cs"/>
          <w:rtl/>
        </w:rPr>
        <w:tab/>
      </w:r>
      <w:r w:rsidRPr="000A0D52">
        <w:rPr>
          <w:rFonts w:ascii="David" w:hAnsi="David" w:hint="cs"/>
          <w:u w:val="single"/>
          <w:rtl/>
        </w:rPr>
        <w:t xml:space="preserve">ביום 28.11.2021 חתמה </w:t>
      </w:r>
      <w:r w:rsidR="00E94E05">
        <w:rPr>
          <w:rFonts w:ascii="David" w:hAnsi="David" w:hint="cs"/>
          <w:u w:val="single"/>
          <w:rtl/>
        </w:rPr>
        <w:t>מ</w:t>
      </w:r>
      <w:r w:rsidR="00E94E05">
        <w:rPr>
          <w:rFonts w:ascii="David" w:hAnsi="David"/>
          <w:u w:val="single"/>
          <w:rtl/>
        </w:rPr>
        <w:t>'</w:t>
      </w:r>
      <w:r w:rsidRPr="000A0D52">
        <w:rPr>
          <w:rFonts w:ascii="David" w:hAnsi="David" w:hint="cs"/>
          <w:u w:val="single"/>
          <w:rtl/>
        </w:rPr>
        <w:t xml:space="preserve"> על תצהיר נוסף, בו נרשם, בין היתר, כך</w:t>
      </w:r>
      <w:r>
        <w:rPr>
          <w:rFonts w:ascii="David" w:hAnsi="David" w:hint="cs"/>
          <w:rtl/>
        </w:rPr>
        <w:t>:</w:t>
      </w:r>
    </w:p>
    <w:p w:rsidR="00D513AA" w:rsidRPr="000A0D52" w:rsidRDefault="00D513AA" w:rsidP="00432342">
      <w:pPr>
        <w:spacing w:after="120" w:line="360" w:lineRule="auto"/>
        <w:ind w:left="2210" w:right="567" w:hanging="708"/>
        <w:jc w:val="both"/>
        <w:rPr>
          <w:rFonts w:ascii="David" w:hAnsi="David"/>
          <w:b/>
          <w:bCs/>
          <w:rtl/>
        </w:rPr>
      </w:pPr>
      <w:r w:rsidRPr="000A0D52">
        <w:rPr>
          <w:rFonts w:ascii="David" w:hAnsi="David" w:hint="cs"/>
          <w:b/>
          <w:bCs/>
          <w:rtl/>
        </w:rPr>
        <w:t>"1.</w:t>
      </w:r>
      <w:r w:rsidRPr="000A0D52">
        <w:rPr>
          <w:rFonts w:ascii="David" w:hAnsi="David" w:hint="cs"/>
          <w:b/>
          <w:bCs/>
          <w:rtl/>
        </w:rPr>
        <w:tab/>
        <w:t xml:space="preserve">אני מצהירה כי, עפ"י פס"ד הגירושין בין הוריי, אני זכאית להרשם כבעלים של הנכס... </w:t>
      </w:r>
      <w:r w:rsidRPr="009B4864">
        <w:rPr>
          <w:rFonts w:ascii="David" w:hAnsi="David" w:hint="cs"/>
          <w:rtl/>
        </w:rPr>
        <w:t>(החנות דנן, ח"ש)</w:t>
      </w:r>
      <w:r w:rsidRPr="000A0D52">
        <w:rPr>
          <w:rFonts w:ascii="David" w:hAnsi="David" w:hint="cs"/>
          <w:b/>
          <w:bCs/>
          <w:rtl/>
        </w:rPr>
        <w:t>.</w:t>
      </w:r>
    </w:p>
    <w:p w:rsidR="00D513AA" w:rsidRPr="000A0D52" w:rsidRDefault="00D513AA" w:rsidP="00432342">
      <w:pPr>
        <w:spacing w:after="120" w:line="360" w:lineRule="auto"/>
        <w:ind w:left="2210" w:right="567" w:hanging="708"/>
        <w:jc w:val="both"/>
        <w:rPr>
          <w:rFonts w:ascii="David" w:hAnsi="David"/>
          <w:b/>
          <w:bCs/>
          <w:rtl/>
        </w:rPr>
      </w:pPr>
      <w:r w:rsidRPr="000A0D52">
        <w:rPr>
          <w:rFonts w:ascii="David" w:hAnsi="David" w:hint="cs"/>
          <w:b/>
          <w:bCs/>
          <w:rtl/>
        </w:rPr>
        <w:t>2.</w:t>
      </w:r>
      <w:r w:rsidRPr="000A0D52">
        <w:rPr>
          <w:rFonts w:ascii="David" w:hAnsi="David" w:hint="cs"/>
          <w:b/>
          <w:bCs/>
          <w:rtl/>
        </w:rPr>
        <w:tab/>
        <w:t>בקשה להעברת זכויות נמסרה לחברת עמידר, ועל ההודעה הנ"ל נרשמה הערת אזהרה לטובתי.</w:t>
      </w:r>
    </w:p>
    <w:p w:rsidR="00D513AA" w:rsidRPr="000A0D52" w:rsidRDefault="00D513AA" w:rsidP="00432342">
      <w:pPr>
        <w:spacing w:after="120" w:line="360" w:lineRule="auto"/>
        <w:ind w:left="2210" w:right="567" w:hanging="708"/>
        <w:jc w:val="both"/>
        <w:rPr>
          <w:rFonts w:ascii="David" w:hAnsi="David"/>
          <w:b/>
          <w:bCs/>
          <w:rtl/>
        </w:rPr>
      </w:pPr>
      <w:r w:rsidRPr="000A0D52">
        <w:rPr>
          <w:rFonts w:ascii="David" w:hAnsi="David" w:hint="cs"/>
          <w:b/>
          <w:bCs/>
          <w:rtl/>
        </w:rPr>
        <w:t>3.</w:t>
      </w:r>
      <w:r w:rsidRPr="000A0D52">
        <w:rPr>
          <w:rFonts w:ascii="David" w:hAnsi="David" w:hint="cs"/>
          <w:b/>
          <w:bCs/>
          <w:rtl/>
        </w:rPr>
        <w:tab/>
        <w:t>הנני להצהיר כי, אני מוותרת ויתור ס</w:t>
      </w:r>
      <w:r>
        <w:rPr>
          <w:rFonts w:ascii="David" w:hAnsi="David" w:hint="cs"/>
          <w:b/>
          <w:bCs/>
          <w:rtl/>
        </w:rPr>
        <w:t>ו</w:t>
      </w:r>
      <w:r w:rsidRPr="000A0D52">
        <w:rPr>
          <w:rFonts w:ascii="David" w:hAnsi="David" w:hint="cs"/>
          <w:b/>
          <w:bCs/>
          <w:rtl/>
        </w:rPr>
        <w:t xml:space="preserve">פי ומוחלט על זכותי בחנות, ומבקשת למשוך את בקשתי להעברת זכויות, וכן לבטל את הערת האזהרה הרשומה בעמידר לטובתי, כך שהחנות הנ"ל תשאר בבעלות אבי... </w:t>
      </w:r>
      <w:r w:rsidRPr="009B4864">
        <w:rPr>
          <w:rFonts w:ascii="David" w:hAnsi="David" w:hint="cs"/>
          <w:rtl/>
        </w:rPr>
        <w:t>(האיש, ח"ש)</w:t>
      </w:r>
      <w:r w:rsidRPr="000A0D52">
        <w:rPr>
          <w:rFonts w:ascii="David" w:hAnsi="David" w:hint="cs"/>
          <w:b/>
          <w:bCs/>
          <w:rtl/>
        </w:rPr>
        <w:t>.</w:t>
      </w:r>
    </w:p>
    <w:p w:rsidR="00D513AA" w:rsidRPr="000A0D52" w:rsidRDefault="00D513AA" w:rsidP="00432342">
      <w:pPr>
        <w:spacing w:after="120" w:line="360" w:lineRule="auto"/>
        <w:ind w:left="2210" w:right="567" w:hanging="708"/>
        <w:jc w:val="both"/>
        <w:rPr>
          <w:rFonts w:ascii="David" w:hAnsi="David"/>
          <w:b/>
          <w:bCs/>
          <w:rtl/>
        </w:rPr>
      </w:pPr>
      <w:r w:rsidRPr="000A0D52">
        <w:rPr>
          <w:rFonts w:ascii="David" w:hAnsi="David" w:hint="cs"/>
          <w:b/>
          <w:bCs/>
          <w:rtl/>
        </w:rPr>
        <w:t>4.</w:t>
      </w:r>
      <w:r w:rsidRPr="000A0D52">
        <w:rPr>
          <w:rFonts w:ascii="David" w:hAnsi="David" w:hint="cs"/>
          <w:b/>
          <w:bCs/>
          <w:rtl/>
        </w:rPr>
        <w:tab/>
        <w:t>תצהיר זה ניתן בפני עוה"ד פואד מופיד נקארה, אשר ביקשתי ממנו לייצג אותי במשיכת הבקשה ובביטול הערת האזהרה, וכן חתמתי על יפוי כח בהתאם".</w:t>
      </w:r>
    </w:p>
    <w:p w:rsidR="00D513AA" w:rsidRDefault="00D513AA" w:rsidP="00432342">
      <w:pPr>
        <w:spacing w:after="120" w:line="360" w:lineRule="auto"/>
        <w:ind w:left="-58" w:right="851"/>
        <w:jc w:val="both"/>
        <w:rPr>
          <w:rFonts w:ascii="David" w:hAnsi="David"/>
          <w:rtl/>
        </w:rPr>
      </w:pPr>
      <w:r>
        <w:rPr>
          <w:rFonts w:ascii="David" w:hAnsi="David"/>
          <w:rtl/>
        </w:rPr>
        <w:lastRenderedPageBreak/>
        <w:tab/>
      </w:r>
      <w:r>
        <w:rPr>
          <w:rFonts w:ascii="David" w:hAnsi="David"/>
          <w:rtl/>
        </w:rPr>
        <w:tab/>
      </w:r>
      <w:r>
        <w:rPr>
          <w:rFonts w:ascii="David" w:hAnsi="David" w:hint="cs"/>
          <w:rtl/>
        </w:rPr>
        <w:t>(להלן: "</w:t>
      </w:r>
      <w:r w:rsidRPr="000A0D52">
        <w:rPr>
          <w:rFonts w:ascii="David" w:hAnsi="David" w:hint="cs"/>
          <w:b/>
          <w:bCs/>
          <w:rtl/>
        </w:rPr>
        <w:t>תצהיר</w:t>
      </w:r>
      <w:r>
        <w:rPr>
          <w:rFonts w:ascii="David" w:hAnsi="David" w:hint="cs"/>
          <w:rtl/>
        </w:rPr>
        <w:t xml:space="preserve"> </w:t>
      </w:r>
      <w:r w:rsidRPr="000A0D52">
        <w:rPr>
          <w:rFonts w:ascii="David" w:hAnsi="David" w:hint="cs"/>
          <w:b/>
          <w:bCs/>
          <w:rtl/>
        </w:rPr>
        <w:t>2021</w:t>
      </w:r>
      <w:r>
        <w:rPr>
          <w:rFonts w:ascii="David" w:hAnsi="David" w:hint="cs"/>
          <w:rtl/>
        </w:rPr>
        <w:t>").</w:t>
      </w:r>
    </w:p>
    <w:p w:rsidR="00D513AA" w:rsidRDefault="00D513AA" w:rsidP="00432342">
      <w:pPr>
        <w:spacing w:after="120" w:line="360" w:lineRule="auto"/>
        <w:ind w:left="793" w:hanging="851"/>
        <w:jc w:val="both"/>
        <w:rPr>
          <w:rFonts w:ascii="David" w:hAnsi="David"/>
          <w:rtl/>
        </w:rPr>
      </w:pPr>
      <w:r>
        <w:rPr>
          <w:rFonts w:ascii="David" w:hAnsi="David" w:hint="cs"/>
          <w:rtl/>
        </w:rPr>
        <w:t>12.</w:t>
      </w:r>
      <w:r>
        <w:rPr>
          <w:rFonts w:ascii="David" w:hAnsi="David" w:hint="cs"/>
          <w:rtl/>
        </w:rPr>
        <w:tab/>
        <w:t xml:space="preserve">הן האיש והן האישה, כל אחד מפנה לתצהיר אחר של </w:t>
      </w:r>
      <w:r w:rsidR="00E94E05">
        <w:rPr>
          <w:rFonts w:ascii="David" w:hAnsi="David" w:hint="cs"/>
          <w:rtl/>
        </w:rPr>
        <w:t>מ</w:t>
      </w:r>
      <w:r w:rsidR="00E94E05">
        <w:rPr>
          <w:rFonts w:ascii="David" w:hAnsi="David"/>
          <w:rtl/>
        </w:rPr>
        <w:t>'</w:t>
      </w:r>
      <w:r>
        <w:rPr>
          <w:rFonts w:ascii="David" w:hAnsi="David" w:hint="cs"/>
          <w:rtl/>
        </w:rPr>
        <w:t xml:space="preserve"> </w:t>
      </w:r>
      <w:r w:rsidRPr="00E75A7A">
        <w:rPr>
          <w:rFonts w:ascii="David" w:hAnsi="David" w:hint="cs"/>
          <w:rtl/>
        </w:rPr>
        <w:t>המתאים</w:t>
      </w:r>
      <w:r>
        <w:rPr>
          <w:rFonts w:ascii="David" w:hAnsi="David" w:hint="cs"/>
          <w:rtl/>
        </w:rPr>
        <w:t xml:space="preserve"> לעמדתו</w:t>
      </w:r>
      <w:r w:rsidRPr="00E75A7A">
        <w:rPr>
          <w:rFonts w:ascii="David" w:hAnsi="David" w:hint="cs"/>
          <w:rtl/>
        </w:rPr>
        <w:t>,</w:t>
      </w:r>
      <w:r>
        <w:rPr>
          <w:rFonts w:ascii="David" w:hAnsi="David" w:hint="cs"/>
          <w:rtl/>
        </w:rPr>
        <w:t xml:space="preserve"> וטוען כי הוא התצהיר המכריע בקביעת בעל הזכויות בחנות.</w:t>
      </w:r>
    </w:p>
    <w:p w:rsidR="00D513AA" w:rsidRDefault="00D513AA" w:rsidP="00432342">
      <w:pPr>
        <w:spacing w:after="120" w:line="360" w:lineRule="auto"/>
        <w:ind w:left="793" w:hanging="851"/>
        <w:jc w:val="both"/>
        <w:rPr>
          <w:rFonts w:ascii="David" w:hAnsi="David"/>
          <w:rtl/>
        </w:rPr>
      </w:pPr>
      <w:r>
        <w:rPr>
          <w:rFonts w:ascii="David" w:hAnsi="David" w:hint="cs"/>
          <w:rtl/>
        </w:rPr>
        <w:t>13.</w:t>
      </w:r>
      <w:r>
        <w:rPr>
          <w:rFonts w:ascii="David" w:hAnsi="David" w:hint="cs"/>
          <w:rtl/>
        </w:rPr>
        <w:tab/>
        <w:t>האישה הגישה את תביעתה בתיק א' נגד האיש ו</w:t>
      </w:r>
      <w:r w:rsidR="00E94E05">
        <w:rPr>
          <w:rFonts w:ascii="David" w:hAnsi="David" w:hint="cs"/>
          <w:rtl/>
        </w:rPr>
        <w:t>מ</w:t>
      </w:r>
      <w:r w:rsidR="00E94E05">
        <w:rPr>
          <w:rFonts w:ascii="David" w:hAnsi="David"/>
          <w:rtl/>
        </w:rPr>
        <w:t>'</w:t>
      </w:r>
      <w:r>
        <w:rPr>
          <w:rFonts w:ascii="David" w:hAnsi="David" w:hint="cs"/>
          <w:rtl/>
        </w:rPr>
        <w:t>, בו תבעה סעד הצהרתי כי החנות בבעלותה, ולחילופין לחייב הנתבעים קמא (המשיבים דנן) לשלם לה את שווי החנות;</w:t>
      </w:r>
    </w:p>
    <w:p w:rsidR="00D513AA" w:rsidRDefault="00D513AA" w:rsidP="00432342">
      <w:pPr>
        <w:spacing w:after="120" w:line="360" w:lineRule="auto"/>
        <w:ind w:left="793" w:hanging="851"/>
        <w:jc w:val="both"/>
        <w:rPr>
          <w:rFonts w:ascii="David" w:hAnsi="David"/>
          <w:rtl/>
        </w:rPr>
      </w:pPr>
      <w:r>
        <w:rPr>
          <w:rFonts w:ascii="David" w:hAnsi="David"/>
          <w:rtl/>
        </w:rPr>
        <w:tab/>
      </w:r>
      <w:r>
        <w:rPr>
          <w:rFonts w:ascii="David" w:hAnsi="David" w:hint="cs"/>
          <w:rtl/>
        </w:rPr>
        <w:t>האיש ו</w:t>
      </w:r>
      <w:r w:rsidR="00E94E05">
        <w:rPr>
          <w:rFonts w:ascii="David" w:hAnsi="David" w:hint="cs"/>
          <w:rtl/>
        </w:rPr>
        <w:t>מ</w:t>
      </w:r>
      <w:r w:rsidR="00E94E05">
        <w:rPr>
          <w:rFonts w:ascii="David" w:hAnsi="David"/>
          <w:rtl/>
        </w:rPr>
        <w:t>'</w:t>
      </w:r>
      <w:r>
        <w:rPr>
          <w:rFonts w:ascii="David" w:hAnsi="David" w:hint="cs"/>
          <w:rtl/>
        </w:rPr>
        <w:t xml:space="preserve"> הגישו את תביעתם בתיק ב' נגד האישה, במסגרתו תבעו את סילוק ידה מהחנות. </w:t>
      </w:r>
    </w:p>
    <w:p w:rsidR="00D513AA" w:rsidRDefault="00D513AA" w:rsidP="00432342">
      <w:pPr>
        <w:spacing w:after="120" w:line="360" w:lineRule="auto"/>
        <w:ind w:left="793" w:hanging="851"/>
        <w:jc w:val="both"/>
        <w:rPr>
          <w:rFonts w:ascii="David" w:hAnsi="David"/>
          <w:rtl/>
        </w:rPr>
      </w:pPr>
      <w:r>
        <w:rPr>
          <w:rFonts w:ascii="David" w:hAnsi="David"/>
          <w:rtl/>
        </w:rPr>
        <w:tab/>
      </w:r>
      <w:r>
        <w:rPr>
          <w:rFonts w:ascii="David" w:hAnsi="David" w:hint="cs"/>
          <w:rtl/>
        </w:rPr>
        <w:t>השופטת קמא בהחלטתה מיום 26.2.2022 קבעה, כי ככל שייקבע במסגרת תיק א', כי האישה היא בעלת הזכויות בחנות, תידחה התביעה נשוא תיק ב' (תביעת הפינוי). ברם ככל שייקבע כי הזכויות בחנות נתונות לאיש ו/או ל</w:t>
      </w:r>
      <w:r w:rsidR="00E94E05">
        <w:rPr>
          <w:rFonts w:ascii="David" w:hAnsi="David" w:hint="cs"/>
          <w:rtl/>
        </w:rPr>
        <w:t>מ</w:t>
      </w:r>
      <w:r w:rsidR="00E94E05">
        <w:rPr>
          <w:rFonts w:ascii="David" w:hAnsi="David"/>
          <w:rtl/>
        </w:rPr>
        <w:t>'</w:t>
      </w:r>
      <w:r>
        <w:rPr>
          <w:rFonts w:ascii="David" w:hAnsi="David" w:hint="cs"/>
          <w:rtl/>
        </w:rPr>
        <w:t>, תתקבל התביעה בתיק ב', והאישה תפונה מהחנות.</w:t>
      </w:r>
    </w:p>
    <w:p w:rsidR="00D513AA" w:rsidRDefault="00D513AA" w:rsidP="00432342">
      <w:pPr>
        <w:spacing w:after="120" w:line="360" w:lineRule="auto"/>
        <w:ind w:left="793" w:hanging="851"/>
        <w:jc w:val="both"/>
        <w:rPr>
          <w:rFonts w:ascii="David" w:hAnsi="David"/>
          <w:rtl/>
        </w:rPr>
      </w:pPr>
    </w:p>
    <w:p w:rsidR="00D513AA" w:rsidRPr="00680C15" w:rsidRDefault="00D513AA" w:rsidP="00432342">
      <w:pPr>
        <w:spacing w:after="120" w:line="360" w:lineRule="auto"/>
        <w:ind w:left="793" w:hanging="851"/>
        <w:jc w:val="both"/>
        <w:rPr>
          <w:rFonts w:ascii="David" w:hAnsi="David"/>
          <w:b/>
          <w:bCs/>
          <w:u w:val="single"/>
          <w:rtl/>
        </w:rPr>
      </w:pPr>
      <w:r w:rsidRPr="00680C15">
        <w:rPr>
          <w:rFonts w:ascii="David" w:hAnsi="David" w:hint="cs"/>
          <w:b/>
          <w:bCs/>
          <w:u w:val="single"/>
          <w:rtl/>
        </w:rPr>
        <w:t>פסק הדין</w:t>
      </w:r>
    </w:p>
    <w:p w:rsidR="00D513AA" w:rsidRDefault="00D513AA" w:rsidP="00432342">
      <w:pPr>
        <w:spacing w:after="120" w:line="360" w:lineRule="auto"/>
        <w:ind w:left="793" w:hanging="851"/>
        <w:jc w:val="both"/>
        <w:rPr>
          <w:rFonts w:ascii="David" w:hAnsi="David"/>
          <w:rtl/>
        </w:rPr>
      </w:pPr>
      <w:r>
        <w:rPr>
          <w:rFonts w:ascii="David" w:hAnsi="David" w:hint="cs"/>
          <w:rtl/>
        </w:rPr>
        <w:t>14.</w:t>
      </w:r>
      <w:r>
        <w:rPr>
          <w:rFonts w:ascii="David" w:hAnsi="David" w:hint="cs"/>
          <w:rtl/>
        </w:rPr>
        <w:tab/>
      </w:r>
      <w:r w:rsidRPr="008E48B2">
        <w:rPr>
          <w:rFonts w:ascii="David" w:hAnsi="David" w:hint="cs"/>
          <w:u w:val="single"/>
          <w:rtl/>
        </w:rPr>
        <w:t>בסעיף 8 לפסק הדין תמצתה השופטת קמא את מסקנתה בתובענות קמא במילים הבאות</w:t>
      </w:r>
      <w:r>
        <w:rPr>
          <w:rFonts w:ascii="David" w:hAnsi="David" w:hint="cs"/>
          <w:rtl/>
        </w:rPr>
        <w:t>:</w:t>
      </w:r>
    </w:p>
    <w:p w:rsidR="00D513AA" w:rsidRPr="00FC44AA" w:rsidRDefault="00D513AA" w:rsidP="00432342">
      <w:pPr>
        <w:spacing w:after="120" w:line="360" w:lineRule="auto"/>
        <w:ind w:left="1360" w:right="567" w:hanging="851"/>
        <w:jc w:val="both"/>
        <w:rPr>
          <w:rFonts w:ascii="David" w:hAnsi="David"/>
          <w:rtl/>
        </w:rPr>
      </w:pPr>
      <w:r>
        <w:rPr>
          <w:rFonts w:ascii="David" w:hAnsi="David"/>
          <w:rtl/>
        </w:rPr>
        <w:tab/>
      </w:r>
      <w:r>
        <w:rPr>
          <w:rFonts w:ascii="David" w:hAnsi="David" w:hint="cs"/>
          <w:rtl/>
        </w:rPr>
        <w:t>"</w:t>
      </w:r>
      <w:r w:rsidRPr="008E48B2">
        <w:rPr>
          <w:rFonts w:ascii="David" w:hAnsi="David" w:hint="cs"/>
          <w:b/>
          <w:bCs/>
          <w:rtl/>
        </w:rPr>
        <w:t xml:space="preserve">לאחר שעיינתי בכתבי הטענות, בראיות שהוגשו, שמעתי את העדים וקראתי את סיכומי הצדדים, באתי לכלל מסקנה כי דין תביעת התובעת לסעד הצהרתי להתקבל, ודין תביעת הנתבעים בתביעת הפינוי להידחות, תוך חיוב הנתבע </w:t>
      </w:r>
      <w:r w:rsidRPr="008E48B2">
        <w:rPr>
          <w:rFonts w:ascii="David" w:hAnsi="David" w:hint="cs"/>
          <w:rtl/>
        </w:rPr>
        <w:t>(האיש, ח"ש)</w:t>
      </w:r>
      <w:r w:rsidRPr="008E48B2">
        <w:rPr>
          <w:rFonts w:ascii="David" w:hAnsi="David" w:hint="cs"/>
          <w:b/>
          <w:bCs/>
          <w:rtl/>
        </w:rPr>
        <w:t xml:space="preserve"> בלבד בהוצאות התובעת</w:t>
      </w:r>
      <w:r>
        <w:rPr>
          <w:rFonts w:ascii="David" w:hAnsi="David" w:hint="cs"/>
          <w:rtl/>
        </w:rPr>
        <w:t xml:space="preserve">". </w:t>
      </w:r>
    </w:p>
    <w:p w:rsidR="006D4AC5" w:rsidRDefault="00D513AA" w:rsidP="00175327">
      <w:pPr>
        <w:spacing w:after="120" w:line="360" w:lineRule="auto"/>
        <w:ind w:left="793" w:hanging="851"/>
        <w:jc w:val="both"/>
        <w:rPr>
          <w:rFonts w:ascii="David" w:hAnsi="David"/>
          <w:rtl/>
        </w:rPr>
      </w:pPr>
      <w:r w:rsidRPr="00FC44AA">
        <w:rPr>
          <w:rFonts w:ascii="David" w:hAnsi="David"/>
          <w:rtl/>
        </w:rPr>
        <w:tab/>
      </w:r>
      <w:r>
        <w:rPr>
          <w:rFonts w:ascii="David" w:hAnsi="David" w:hint="cs"/>
          <w:rtl/>
        </w:rPr>
        <w:t xml:space="preserve">בנדון הוסיפה השופטת קמא וציינה במודגש </w:t>
      </w:r>
      <w:r>
        <w:rPr>
          <w:rFonts w:ascii="David" w:hAnsi="David"/>
          <w:rtl/>
        </w:rPr>
        <w:t>–</w:t>
      </w:r>
      <w:r>
        <w:rPr>
          <w:rFonts w:ascii="David" w:hAnsi="David" w:hint="cs"/>
          <w:rtl/>
        </w:rPr>
        <w:t xml:space="preserve"> כי אינה מאמינה לגרסת הנתבע/האיש, על פיה לאישה לא מגיע דבר בגירושין, תוך שהוא משנה את גרסאותיו בהליך קמא (סעיפים 12.5 </w:t>
      </w:r>
      <w:r>
        <w:rPr>
          <w:rFonts w:ascii="David" w:hAnsi="David"/>
          <w:rtl/>
        </w:rPr>
        <w:t>–</w:t>
      </w:r>
      <w:r>
        <w:rPr>
          <w:rFonts w:ascii="David" w:hAnsi="David" w:hint="cs"/>
          <w:rtl/>
        </w:rPr>
        <w:t xml:space="preserve"> 12.6 לפסק הדין). </w:t>
      </w:r>
    </w:p>
    <w:p w:rsidR="00D513AA" w:rsidRDefault="00D513AA" w:rsidP="00432342">
      <w:pPr>
        <w:spacing w:after="120" w:line="360" w:lineRule="auto"/>
        <w:ind w:left="793" w:hanging="851"/>
        <w:jc w:val="both"/>
        <w:rPr>
          <w:rFonts w:ascii="David" w:hAnsi="David"/>
          <w:rtl/>
        </w:rPr>
      </w:pPr>
      <w:r>
        <w:rPr>
          <w:rFonts w:ascii="David" w:hAnsi="David" w:hint="cs"/>
          <w:rtl/>
        </w:rPr>
        <w:t>15.</w:t>
      </w:r>
      <w:r>
        <w:rPr>
          <w:rFonts w:ascii="David" w:hAnsi="David" w:hint="cs"/>
          <w:rtl/>
        </w:rPr>
        <w:tab/>
      </w:r>
      <w:r w:rsidRPr="00F41986">
        <w:rPr>
          <w:rFonts w:ascii="David" w:hAnsi="David" w:hint="cs"/>
          <w:u w:val="single"/>
          <w:rtl/>
        </w:rPr>
        <w:t>השופטת קמא ציינה בפסק הדין (סעיפים 4-5) עובדות שאינן שנויות במחלוקת כדלקמן</w:t>
      </w:r>
      <w:r>
        <w:rPr>
          <w:rFonts w:ascii="David" w:hAnsi="David" w:hint="cs"/>
          <w:rtl/>
        </w:rPr>
        <w:t>:</w:t>
      </w:r>
    </w:p>
    <w:p w:rsidR="00D513AA" w:rsidRDefault="00D513AA" w:rsidP="00432342">
      <w:pPr>
        <w:spacing w:after="120" w:line="360" w:lineRule="auto"/>
        <w:ind w:left="793" w:hanging="851"/>
        <w:jc w:val="both"/>
        <w:rPr>
          <w:rFonts w:ascii="David" w:hAnsi="David"/>
          <w:rtl/>
        </w:rPr>
      </w:pPr>
      <w:r>
        <w:rPr>
          <w:rFonts w:ascii="David" w:hAnsi="David"/>
          <w:rtl/>
        </w:rPr>
        <w:tab/>
      </w:r>
      <w:r>
        <w:rPr>
          <w:rFonts w:ascii="David" w:hAnsi="David" w:hint="cs"/>
          <w:rtl/>
        </w:rPr>
        <w:t>א.</w:t>
      </w:r>
      <w:r>
        <w:rPr>
          <w:rFonts w:ascii="David" w:hAnsi="David" w:hint="cs"/>
          <w:rtl/>
        </w:rPr>
        <w:tab/>
        <w:t>הזכויות בחנות מעולם לא נרשמו</w:t>
      </w:r>
      <w:r w:rsidR="00206350">
        <w:rPr>
          <w:rFonts w:ascii="David" w:hAnsi="David" w:hint="cs"/>
          <w:rtl/>
        </w:rPr>
        <w:t xml:space="preserve"> על שם </w:t>
      </w:r>
      <w:r w:rsidR="00E94E05">
        <w:rPr>
          <w:rFonts w:ascii="David" w:hAnsi="David" w:hint="cs"/>
          <w:rtl/>
        </w:rPr>
        <w:t>מ</w:t>
      </w:r>
      <w:r w:rsidR="00E94E05">
        <w:rPr>
          <w:rFonts w:ascii="David" w:hAnsi="David"/>
          <w:rtl/>
        </w:rPr>
        <w:t>'</w:t>
      </w:r>
      <w:r w:rsidR="00206350">
        <w:rPr>
          <w:rFonts w:ascii="David" w:hAnsi="David" w:hint="cs"/>
          <w:rtl/>
        </w:rPr>
        <w:t xml:space="preserve"> בפנקסי חברת עמידר, </w:t>
      </w:r>
      <w:r>
        <w:rPr>
          <w:rFonts w:ascii="David" w:hAnsi="David" w:hint="cs"/>
          <w:rtl/>
        </w:rPr>
        <w:t xml:space="preserve">בניגוד להסכמת הצדדים </w:t>
      </w:r>
      <w:r w:rsidR="006D4AC5">
        <w:rPr>
          <w:rFonts w:ascii="David" w:hAnsi="David"/>
          <w:rtl/>
        </w:rPr>
        <w:tab/>
      </w:r>
      <w:r>
        <w:rPr>
          <w:rFonts w:ascii="David" w:hAnsi="David" w:hint="cs"/>
          <w:rtl/>
        </w:rPr>
        <w:t>בהסכם הגירושין;</w:t>
      </w:r>
    </w:p>
    <w:p w:rsidR="00D513AA" w:rsidRDefault="00D513AA" w:rsidP="00432342">
      <w:pPr>
        <w:spacing w:after="120" w:line="360" w:lineRule="auto"/>
        <w:ind w:left="793" w:hanging="851"/>
        <w:jc w:val="both"/>
        <w:rPr>
          <w:rFonts w:ascii="David" w:hAnsi="David"/>
          <w:rtl/>
        </w:rPr>
      </w:pPr>
      <w:r>
        <w:rPr>
          <w:rFonts w:ascii="David" w:hAnsi="David"/>
          <w:rtl/>
        </w:rPr>
        <w:lastRenderedPageBreak/>
        <w:tab/>
      </w:r>
      <w:r>
        <w:rPr>
          <w:rFonts w:ascii="David" w:hAnsi="David" w:hint="cs"/>
          <w:rtl/>
        </w:rPr>
        <w:t>ב.</w:t>
      </w:r>
      <w:r>
        <w:rPr>
          <w:rFonts w:ascii="David" w:hAnsi="David" w:hint="cs"/>
          <w:rtl/>
        </w:rPr>
        <w:tab/>
      </w:r>
      <w:r w:rsidR="00175327">
        <w:rPr>
          <w:rFonts w:ascii="David" w:hAnsi="David" w:hint="cs"/>
          <w:rtl/>
        </w:rPr>
        <w:t>האיש רכש את החנות מאדם בשם פ. א.</w:t>
      </w:r>
      <w:r>
        <w:rPr>
          <w:rFonts w:ascii="David" w:hAnsi="David" w:hint="cs"/>
          <w:rtl/>
        </w:rPr>
        <w:t xml:space="preserve"> ביום 28.12.2001, אך רק ביום 23.1.2022 נרשמו </w:t>
      </w:r>
      <w:r w:rsidR="0054445B">
        <w:rPr>
          <w:rFonts w:ascii="David" w:hAnsi="David"/>
          <w:rtl/>
        </w:rPr>
        <w:tab/>
      </w:r>
      <w:r>
        <w:rPr>
          <w:rFonts w:ascii="David" w:hAnsi="David" w:hint="cs"/>
          <w:rtl/>
        </w:rPr>
        <w:t>הזכויות בחנות על שם האיש;</w:t>
      </w:r>
    </w:p>
    <w:p w:rsidR="00D513AA" w:rsidRDefault="00D513AA" w:rsidP="00432342">
      <w:pPr>
        <w:spacing w:after="120" w:line="360" w:lineRule="auto"/>
        <w:ind w:left="793" w:hanging="851"/>
        <w:jc w:val="both"/>
        <w:rPr>
          <w:rFonts w:ascii="David" w:hAnsi="David"/>
          <w:rtl/>
        </w:rPr>
      </w:pPr>
      <w:r>
        <w:rPr>
          <w:rFonts w:ascii="David" w:hAnsi="David"/>
          <w:rtl/>
        </w:rPr>
        <w:tab/>
      </w:r>
      <w:r>
        <w:rPr>
          <w:rFonts w:ascii="David" w:hAnsi="David" w:hint="cs"/>
          <w:rtl/>
        </w:rPr>
        <w:t>ג.</w:t>
      </w:r>
      <w:r>
        <w:rPr>
          <w:rFonts w:ascii="David" w:hAnsi="David" w:hint="cs"/>
          <w:rtl/>
        </w:rPr>
        <w:tab/>
        <w:t xml:space="preserve">במשך שנים רבות היו הן לאיש והן לאישה חובות כבדים, עובדה שגרמה לאיש להשהות את העברת </w:t>
      </w:r>
      <w:r w:rsidR="006D4AC5">
        <w:rPr>
          <w:rFonts w:ascii="David" w:hAnsi="David"/>
          <w:rtl/>
        </w:rPr>
        <w:tab/>
      </w:r>
      <w:r>
        <w:rPr>
          <w:rFonts w:ascii="David" w:hAnsi="David" w:hint="cs"/>
          <w:rtl/>
        </w:rPr>
        <w:t>הזכויות בחנות על שמו, עד לאחרונה (23.1.2022);</w:t>
      </w:r>
    </w:p>
    <w:p w:rsidR="00D513AA" w:rsidRDefault="00D513AA" w:rsidP="00432342">
      <w:pPr>
        <w:spacing w:after="120" w:line="360" w:lineRule="auto"/>
        <w:ind w:left="793" w:hanging="851"/>
        <w:jc w:val="both"/>
        <w:rPr>
          <w:rFonts w:ascii="David" w:hAnsi="David"/>
          <w:rtl/>
        </w:rPr>
      </w:pPr>
      <w:r>
        <w:rPr>
          <w:rFonts w:ascii="David" w:hAnsi="David"/>
          <w:rtl/>
        </w:rPr>
        <w:tab/>
      </w:r>
      <w:r>
        <w:rPr>
          <w:rFonts w:ascii="David" w:hAnsi="David" w:hint="cs"/>
          <w:rtl/>
        </w:rPr>
        <w:t>ד.</w:t>
      </w:r>
      <w:r>
        <w:rPr>
          <w:rFonts w:ascii="David" w:hAnsi="David" w:hint="cs"/>
          <w:rtl/>
        </w:rPr>
        <w:tab/>
        <w:t xml:space="preserve">בשנת 2021 פרץ סכסוך משפחתי במשפחת האיש והאישה, עת נודע לילדי בני הזוג כי </w:t>
      </w:r>
      <w:r>
        <w:rPr>
          <w:rFonts w:ascii="David" w:hAnsi="David"/>
          <w:rtl/>
        </w:rPr>
        <w:tab/>
      </w:r>
      <w:r w:rsidR="00175327">
        <w:rPr>
          <w:rFonts w:ascii="David" w:hAnsi="David" w:hint="cs"/>
          <w:rtl/>
        </w:rPr>
        <w:t>האישה רכשה נכס ב[עיר אחרת]</w:t>
      </w:r>
      <w:r>
        <w:rPr>
          <w:rFonts w:ascii="David" w:hAnsi="David" w:hint="cs"/>
          <w:rtl/>
        </w:rPr>
        <w:t xml:space="preserve">. מאז נותק הקשר בין האישה לילדיה, והחלו ההליכים  </w:t>
      </w:r>
      <w:r>
        <w:rPr>
          <w:rFonts w:ascii="David" w:hAnsi="David"/>
          <w:rtl/>
        </w:rPr>
        <w:tab/>
      </w:r>
      <w:r>
        <w:rPr>
          <w:rFonts w:ascii="David" w:hAnsi="David" w:hint="cs"/>
          <w:rtl/>
        </w:rPr>
        <w:t>המשפטיים נשוא התובענות דנן.</w:t>
      </w:r>
    </w:p>
    <w:p w:rsidR="00D513AA" w:rsidRDefault="00D513AA" w:rsidP="00432342">
      <w:pPr>
        <w:spacing w:after="120" w:line="360" w:lineRule="auto"/>
        <w:ind w:left="793" w:hanging="851"/>
        <w:jc w:val="both"/>
        <w:rPr>
          <w:rFonts w:ascii="David" w:hAnsi="David"/>
          <w:rtl/>
        </w:rPr>
      </w:pPr>
      <w:r>
        <w:rPr>
          <w:rFonts w:ascii="David" w:hAnsi="David" w:hint="cs"/>
          <w:rtl/>
        </w:rPr>
        <w:t>16.</w:t>
      </w:r>
      <w:r>
        <w:rPr>
          <w:rFonts w:ascii="David" w:hAnsi="David" w:hint="cs"/>
          <w:rtl/>
        </w:rPr>
        <w:tab/>
      </w:r>
      <w:r w:rsidRPr="002E4573">
        <w:rPr>
          <w:rFonts w:ascii="David" w:hAnsi="David" w:hint="cs"/>
          <w:u w:val="single"/>
          <w:rtl/>
        </w:rPr>
        <w:t>באשר להסכם הגירושין ציינה השופטת קמא בפסק הדין, כדלקמן</w:t>
      </w:r>
      <w:r>
        <w:rPr>
          <w:rFonts w:ascii="David" w:hAnsi="David" w:hint="cs"/>
          <w:rtl/>
        </w:rPr>
        <w:t>:</w:t>
      </w:r>
    </w:p>
    <w:p w:rsidR="00D513AA" w:rsidRDefault="00206350" w:rsidP="00432342">
      <w:pPr>
        <w:spacing w:after="120" w:line="360" w:lineRule="auto"/>
        <w:ind w:left="708" w:hanging="709"/>
        <w:jc w:val="both"/>
        <w:rPr>
          <w:rFonts w:ascii="David" w:hAnsi="David"/>
          <w:rtl/>
        </w:rPr>
      </w:pPr>
      <w:r>
        <w:rPr>
          <w:rFonts w:ascii="David" w:hAnsi="David"/>
          <w:rtl/>
        </w:rPr>
        <w:tab/>
      </w:r>
      <w:r w:rsidR="00D513AA">
        <w:rPr>
          <w:rFonts w:ascii="David" w:hAnsi="David" w:hint="cs"/>
          <w:rtl/>
        </w:rPr>
        <w:t>א.</w:t>
      </w:r>
      <w:r w:rsidR="00D513AA">
        <w:rPr>
          <w:rFonts w:ascii="David" w:hAnsi="David" w:hint="cs"/>
          <w:rtl/>
        </w:rPr>
        <w:tab/>
        <w:t>הסכם הגירושין שנחתם על ידי בני הזוג אושר בבית הדין הכנסייתי, ומעולם לא בוטל;</w:t>
      </w:r>
    </w:p>
    <w:p w:rsidR="00D513AA" w:rsidRDefault="00D513AA" w:rsidP="00432342">
      <w:pPr>
        <w:spacing w:after="120" w:line="360" w:lineRule="auto"/>
        <w:ind w:left="1440" w:hanging="720"/>
        <w:jc w:val="both"/>
        <w:rPr>
          <w:rFonts w:ascii="David" w:hAnsi="David"/>
          <w:rtl/>
        </w:rPr>
      </w:pPr>
      <w:r>
        <w:rPr>
          <w:rFonts w:ascii="David" w:hAnsi="David" w:hint="cs"/>
          <w:rtl/>
        </w:rPr>
        <w:t>ב.</w:t>
      </w:r>
      <w:r>
        <w:rPr>
          <w:rFonts w:ascii="David" w:hAnsi="David" w:hint="cs"/>
          <w:rtl/>
        </w:rPr>
        <w:tab/>
        <w:t xml:space="preserve">בסעיף 11 להסכם הגירושין הסכים האיש לבקשת האישה, להעביר החנות על שם </w:t>
      </w:r>
      <w:r w:rsidR="00E94E05">
        <w:rPr>
          <w:rFonts w:ascii="David" w:hAnsi="David" w:hint="cs"/>
          <w:rtl/>
        </w:rPr>
        <w:t>מ</w:t>
      </w:r>
      <w:r w:rsidR="00E94E05">
        <w:rPr>
          <w:rFonts w:ascii="David" w:hAnsi="David"/>
          <w:rtl/>
        </w:rPr>
        <w:t>'</w:t>
      </w:r>
      <w:r>
        <w:rPr>
          <w:rFonts w:ascii="David" w:hAnsi="David" w:hint="cs"/>
          <w:rtl/>
        </w:rPr>
        <w:t xml:space="preserve">. השופטת קמא הדגישה בפסק הדין כי הדבר נעשה </w:t>
      </w:r>
      <w:r>
        <w:rPr>
          <w:rFonts w:ascii="David" w:hAnsi="David" w:hint="cs"/>
          <w:b/>
          <w:bCs/>
          <w:rtl/>
        </w:rPr>
        <w:t xml:space="preserve">לבקשת האישה. </w:t>
      </w:r>
      <w:r>
        <w:rPr>
          <w:rFonts w:ascii="David" w:hAnsi="David" w:hint="cs"/>
          <w:rtl/>
        </w:rPr>
        <w:t xml:space="preserve">  </w:t>
      </w:r>
    </w:p>
    <w:p w:rsidR="00D513AA" w:rsidRDefault="00D513AA" w:rsidP="00432342">
      <w:pPr>
        <w:spacing w:after="120" w:line="360" w:lineRule="auto"/>
        <w:ind w:left="1440" w:hanging="720"/>
        <w:jc w:val="both"/>
        <w:rPr>
          <w:rFonts w:ascii="David" w:hAnsi="David"/>
          <w:rtl/>
        </w:rPr>
      </w:pPr>
      <w:r>
        <w:rPr>
          <w:rFonts w:ascii="David" w:hAnsi="David" w:hint="cs"/>
          <w:rtl/>
        </w:rPr>
        <w:t>ג.</w:t>
      </w:r>
      <w:r>
        <w:rPr>
          <w:rFonts w:ascii="David" w:hAnsi="David" w:hint="cs"/>
          <w:rtl/>
        </w:rPr>
        <w:tab/>
        <w:t xml:space="preserve">מלכתחילה כוונתם של בני הזוג היה כי הנכס יהיה בבעלותה היחידה של התובעת/האישה, וזאת בעקבות חלוקת הנכסים המשותפים ביניהם במסגרת הסכם הגירושין. ברם היות שלשני בני הזוג היו חובות רבים, העדיפו שניהם שרכושם לא יהיה על שמם בכדי למנוע מצב שהנושים ישימו ידם על רכושם. </w:t>
      </w:r>
    </w:p>
    <w:p w:rsidR="00D513AA" w:rsidRDefault="00D513AA" w:rsidP="00432342">
      <w:pPr>
        <w:spacing w:after="120" w:line="360" w:lineRule="auto"/>
        <w:ind w:left="1440" w:hanging="720"/>
        <w:jc w:val="both"/>
        <w:rPr>
          <w:rFonts w:ascii="David" w:hAnsi="David"/>
          <w:rtl/>
        </w:rPr>
      </w:pPr>
      <w:r>
        <w:rPr>
          <w:rFonts w:ascii="David" w:hAnsi="David"/>
          <w:rtl/>
        </w:rPr>
        <w:tab/>
      </w:r>
      <w:r>
        <w:rPr>
          <w:rFonts w:ascii="David" w:hAnsi="David" w:hint="cs"/>
          <w:rtl/>
        </w:rPr>
        <w:t xml:space="preserve">לכן האיש לא העביר החנות על שמו מיד לאחר רכישתה בשנת 2001 ועד לשנת 2022; ולכן גם בחרה האישה להעביר החנות על שם </w:t>
      </w:r>
      <w:r w:rsidR="00E94E05">
        <w:rPr>
          <w:rFonts w:ascii="David" w:hAnsi="David" w:hint="cs"/>
          <w:rtl/>
        </w:rPr>
        <w:t>מ</w:t>
      </w:r>
      <w:r w:rsidR="00E94E05">
        <w:rPr>
          <w:rFonts w:ascii="David" w:hAnsi="David"/>
          <w:rtl/>
        </w:rPr>
        <w:t>'</w:t>
      </w:r>
      <w:r>
        <w:rPr>
          <w:rFonts w:ascii="David" w:hAnsi="David" w:hint="cs"/>
          <w:rtl/>
        </w:rPr>
        <w:t>, בנאמנות לטובתה, כפי שמלמד תצהיר 2011.</w:t>
      </w:r>
    </w:p>
    <w:p w:rsidR="00D513AA" w:rsidRDefault="00D513AA" w:rsidP="00432342">
      <w:pPr>
        <w:spacing w:after="120" w:line="360" w:lineRule="auto"/>
        <w:jc w:val="both"/>
        <w:rPr>
          <w:rFonts w:ascii="David" w:hAnsi="David"/>
          <w:rtl/>
        </w:rPr>
      </w:pPr>
      <w:r>
        <w:rPr>
          <w:rFonts w:ascii="David" w:hAnsi="David" w:hint="cs"/>
          <w:rtl/>
        </w:rPr>
        <w:t>17.</w:t>
      </w:r>
      <w:r>
        <w:rPr>
          <w:rFonts w:ascii="David" w:hAnsi="David" w:hint="cs"/>
          <w:rtl/>
        </w:rPr>
        <w:tab/>
      </w:r>
      <w:r w:rsidRPr="004F5E9C">
        <w:rPr>
          <w:rFonts w:ascii="David" w:hAnsi="David" w:hint="cs"/>
          <w:u w:val="single"/>
          <w:rtl/>
        </w:rPr>
        <w:t>לגופם של דברים פסקה השופטת קמא בפסק הדין כדלקמן</w:t>
      </w:r>
      <w:r>
        <w:rPr>
          <w:rFonts w:ascii="David" w:hAnsi="David" w:hint="cs"/>
          <w:rtl/>
        </w:rPr>
        <w:t>:</w:t>
      </w:r>
    </w:p>
    <w:p w:rsidR="00D513AA" w:rsidRDefault="00D513AA" w:rsidP="00432342">
      <w:pPr>
        <w:spacing w:after="120" w:line="360" w:lineRule="auto"/>
        <w:ind w:left="1440" w:hanging="720"/>
        <w:jc w:val="both"/>
        <w:rPr>
          <w:rFonts w:ascii="David" w:hAnsi="David"/>
          <w:rtl/>
        </w:rPr>
      </w:pPr>
      <w:r>
        <w:rPr>
          <w:rFonts w:ascii="David" w:hAnsi="David" w:hint="cs"/>
          <w:rtl/>
        </w:rPr>
        <w:t>א.</w:t>
      </w:r>
      <w:r>
        <w:rPr>
          <w:rFonts w:ascii="David" w:hAnsi="David" w:hint="cs"/>
          <w:rtl/>
        </w:rPr>
        <w:tab/>
        <w:t xml:space="preserve">בתצהיר 2011 אישרה </w:t>
      </w:r>
      <w:r w:rsidR="00E94E05">
        <w:rPr>
          <w:rFonts w:ascii="David" w:hAnsi="David" w:hint="cs"/>
          <w:rtl/>
        </w:rPr>
        <w:t>מ</w:t>
      </w:r>
      <w:r w:rsidR="00E94E05">
        <w:rPr>
          <w:rFonts w:ascii="David" w:hAnsi="David"/>
          <w:rtl/>
        </w:rPr>
        <w:t>'</w:t>
      </w:r>
      <w:r>
        <w:rPr>
          <w:rFonts w:ascii="David" w:hAnsi="David" w:hint="cs"/>
          <w:rtl/>
        </w:rPr>
        <w:t xml:space="preserve">, כי הזכות שניתנה לה לקבל את החנות הייתה על דרך של נאמנות לטובת אימה/האישה. </w:t>
      </w:r>
    </w:p>
    <w:p w:rsidR="00D513AA" w:rsidRDefault="00D513AA" w:rsidP="00432342">
      <w:pPr>
        <w:spacing w:after="120" w:line="360" w:lineRule="auto"/>
        <w:ind w:left="1440"/>
        <w:jc w:val="both"/>
        <w:rPr>
          <w:rFonts w:ascii="David" w:hAnsi="David"/>
          <w:rtl/>
        </w:rPr>
      </w:pPr>
      <w:r>
        <w:rPr>
          <w:rFonts w:ascii="David" w:hAnsi="David" w:hint="cs"/>
          <w:rtl/>
        </w:rPr>
        <w:lastRenderedPageBreak/>
        <w:t xml:space="preserve">לכן יש לומר, כי בהתאם להסכם הגירושין החנות נפלה בחלקה של האישה, וסעיף 11 להסכם זה מלמד כי האישה, בכדי להימנע מתפיסת החנות על ידי נושיה, ביקשה כי </w:t>
      </w:r>
      <w:r w:rsidR="00E94E05">
        <w:rPr>
          <w:rFonts w:ascii="David" w:hAnsi="David" w:hint="cs"/>
          <w:rtl/>
        </w:rPr>
        <w:t>מ</w:t>
      </w:r>
      <w:r w:rsidR="00E94E05">
        <w:rPr>
          <w:rFonts w:ascii="David" w:hAnsi="David"/>
          <w:rtl/>
        </w:rPr>
        <w:t>'</w:t>
      </w:r>
      <w:r>
        <w:rPr>
          <w:rFonts w:ascii="David" w:hAnsi="David" w:hint="cs"/>
          <w:rtl/>
        </w:rPr>
        <w:t xml:space="preserve"> תהא נאמנה בעבורה לחנות;</w:t>
      </w:r>
    </w:p>
    <w:p w:rsidR="00D513AA" w:rsidRDefault="00D513AA" w:rsidP="00432342">
      <w:pPr>
        <w:spacing w:after="120" w:line="360" w:lineRule="auto"/>
        <w:ind w:left="1440" w:hanging="720"/>
        <w:jc w:val="both"/>
        <w:rPr>
          <w:rFonts w:ascii="David" w:hAnsi="David"/>
          <w:rtl/>
        </w:rPr>
      </w:pPr>
      <w:r>
        <w:rPr>
          <w:rFonts w:ascii="David" w:hAnsi="David" w:hint="cs"/>
          <w:rtl/>
        </w:rPr>
        <w:t>ב.</w:t>
      </w:r>
      <w:r>
        <w:rPr>
          <w:rFonts w:ascii="David" w:hAnsi="David" w:hint="cs"/>
          <w:rtl/>
        </w:rPr>
        <w:tab/>
        <w:t xml:space="preserve">אפילו היה ניתן לראות את הסכם הגירושין כ"חוזה לטובת צד שלישי", כמשמעו בפרק ד' לחוק החוזים (חלקה כללי), התשל"ג-1973 (להלן: </w:t>
      </w:r>
      <w:r>
        <w:rPr>
          <w:rFonts w:ascii="David" w:hAnsi="David" w:hint="cs"/>
          <w:b/>
          <w:bCs/>
          <w:rtl/>
        </w:rPr>
        <w:t>"חוק החוזים"</w:t>
      </w:r>
      <w:r>
        <w:rPr>
          <w:rFonts w:ascii="David" w:hAnsi="David" w:hint="cs"/>
          <w:rtl/>
        </w:rPr>
        <w:t xml:space="preserve">) וכטענת האיש, הרי ניתן לראות בתצהיר משנת 2011, </w:t>
      </w:r>
      <w:r w:rsidRPr="00FA6B0A">
        <w:rPr>
          <w:rFonts w:ascii="David" w:hAnsi="David"/>
          <w:rtl/>
        </w:rPr>
        <w:t xml:space="preserve">שנערך זמן סביר לאחר שנודע </w:t>
      </w:r>
      <w:r>
        <w:rPr>
          <w:rFonts w:ascii="David" w:hAnsi="David" w:hint="cs"/>
          <w:rtl/>
        </w:rPr>
        <w:t>ל</w:t>
      </w:r>
      <w:r w:rsidR="00E94E05">
        <w:rPr>
          <w:rFonts w:ascii="David" w:hAnsi="David" w:hint="cs"/>
          <w:rtl/>
        </w:rPr>
        <w:t>מ</w:t>
      </w:r>
      <w:r w:rsidR="00E94E05">
        <w:rPr>
          <w:rFonts w:ascii="David" w:hAnsi="David"/>
          <w:rtl/>
        </w:rPr>
        <w:t>'</w:t>
      </w:r>
      <w:r w:rsidRPr="00FA6B0A">
        <w:rPr>
          <w:rFonts w:ascii="David" w:hAnsi="David"/>
          <w:rtl/>
        </w:rPr>
        <w:t xml:space="preserve"> על הסכם הגירושין בו הוסכם בין הוריה על העברת </w:t>
      </w:r>
      <w:r>
        <w:rPr>
          <w:rFonts w:ascii="David" w:hAnsi="David" w:hint="cs"/>
          <w:rtl/>
        </w:rPr>
        <w:t>החנות</w:t>
      </w:r>
      <w:r w:rsidRPr="00FA6B0A">
        <w:rPr>
          <w:rFonts w:ascii="David" w:hAnsi="David"/>
          <w:rtl/>
        </w:rPr>
        <w:t xml:space="preserve"> על שמה, כהודעת דחייה בהתאם להוראות סע' 35 לחוק החוזים.</w:t>
      </w:r>
      <w:r>
        <w:rPr>
          <w:rFonts w:ascii="David" w:hAnsi="David" w:hint="cs"/>
          <w:rtl/>
        </w:rPr>
        <w:t xml:space="preserve"> משכך החנות חוזרת לבעליה, אשר היא האישה, מכוחו של הסכם הגירושין.</w:t>
      </w:r>
    </w:p>
    <w:p w:rsidR="00D513AA" w:rsidRDefault="00D513AA" w:rsidP="00432342">
      <w:pPr>
        <w:spacing w:after="120" w:line="360" w:lineRule="auto"/>
        <w:ind w:left="1440" w:hanging="720"/>
        <w:jc w:val="both"/>
        <w:rPr>
          <w:rFonts w:ascii="David" w:hAnsi="David"/>
          <w:rtl/>
        </w:rPr>
      </w:pPr>
      <w:r>
        <w:rPr>
          <w:rFonts w:ascii="David" w:hAnsi="David" w:hint="cs"/>
          <w:rtl/>
        </w:rPr>
        <w:t>ג.</w:t>
      </w:r>
      <w:r>
        <w:rPr>
          <w:rFonts w:ascii="David" w:hAnsi="David" w:hint="cs"/>
          <w:rtl/>
        </w:rPr>
        <w:tab/>
        <w:t xml:space="preserve">תצהיר 2011 נחתם על ידי </w:t>
      </w:r>
      <w:r w:rsidR="00E94E05">
        <w:rPr>
          <w:rFonts w:ascii="David" w:hAnsi="David" w:hint="cs"/>
          <w:rtl/>
        </w:rPr>
        <w:t>מ</w:t>
      </w:r>
      <w:r w:rsidR="00E94E05">
        <w:rPr>
          <w:rFonts w:ascii="David" w:hAnsi="David"/>
          <w:rtl/>
        </w:rPr>
        <w:t>'</w:t>
      </w:r>
      <w:r>
        <w:rPr>
          <w:rFonts w:ascii="David" w:hAnsi="David" w:hint="cs"/>
          <w:rtl/>
        </w:rPr>
        <w:t xml:space="preserve">, מרצונה החופשי ללא כל אילוץ או כפיה שכפתה עליה האישה לכך. בנדון ציינה השופטת קמא, כי התצהיר נחתם כשנתיים לאחר נישואי </w:t>
      </w:r>
      <w:r w:rsidR="00E94E05">
        <w:rPr>
          <w:rFonts w:ascii="David" w:hAnsi="David" w:hint="cs"/>
          <w:rtl/>
        </w:rPr>
        <w:t>מ</w:t>
      </w:r>
      <w:r w:rsidR="00E94E05">
        <w:rPr>
          <w:rFonts w:ascii="David" w:hAnsi="David"/>
          <w:rtl/>
        </w:rPr>
        <w:t>'</w:t>
      </w:r>
      <w:r>
        <w:rPr>
          <w:rFonts w:ascii="David" w:hAnsi="David" w:hint="cs"/>
          <w:rtl/>
        </w:rPr>
        <w:t xml:space="preserve">, שמאז, אף לדברי </w:t>
      </w:r>
      <w:r w:rsidR="00E94E05">
        <w:rPr>
          <w:rFonts w:ascii="David" w:hAnsi="David" w:hint="cs"/>
          <w:rtl/>
        </w:rPr>
        <w:t>מ</w:t>
      </w:r>
      <w:r w:rsidR="00E94E05">
        <w:rPr>
          <w:rFonts w:ascii="David" w:hAnsi="David"/>
          <w:rtl/>
        </w:rPr>
        <w:t>'</w:t>
      </w:r>
      <w:r>
        <w:rPr>
          <w:rFonts w:ascii="David" w:hAnsi="David" w:hint="cs"/>
          <w:rtl/>
        </w:rPr>
        <w:t xml:space="preserve">, החלה היא "לעשות מה שהיא רוצה". </w:t>
      </w:r>
    </w:p>
    <w:p w:rsidR="00D513AA" w:rsidRDefault="00D513AA" w:rsidP="00432342">
      <w:pPr>
        <w:spacing w:after="120" w:line="360" w:lineRule="auto"/>
        <w:ind w:left="1440" w:hanging="720"/>
        <w:jc w:val="both"/>
        <w:rPr>
          <w:rFonts w:ascii="David" w:hAnsi="David"/>
          <w:rtl/>
        </w:rPr>
      </w:pPr>
      <w:r>
        <w:rPr>
          <w:rFonts w:ascii="David" w:hAnsi="David" w:hint="cs"/>
          <w:rtl/>
        </w:rPr>
        <w:t xml:space="preserve">ד. </w:t>
      </w:r>
      <w:r>
        <w:rPr>
          <w:rFonts w:ascii="David" w:hAnsi="David"/>
          <w:rtl/>
        </w:rPr>
        <w:tab/>
      </w:r>
      <w:r>
        <w:rPr>
          <w:rFonts w:ascii="David" w:hAnsi="David" w:hint="cs"/>
          <w:rtl/>
        </w:rPr>
        <w:t xml:space="preserve">בכל אופן תצהיר 2011 מעולם לא בוטל על ידי </w:t>
      </w:r>
      <w:r w:rsidR="00E94E05">
        <w:rPr>
          <w:rFonts w:ascii="David" w:hAnsi="David" w:hint="cs"/>
          <w:rtl/>
        </w:rPr>
        <w:t>מ</w:t>
      </w:r>
      <w:r w:rsidR="00E94E05">
        <w:rPr>
          <w:rFonts w:ascii="David" w:hAnsi="David"/>
          <w:rtl/>
        </w:rPr>
        <w:t>'</w:t>
      </w:r>
      <w:r>
        <w:rPr>
          <w:rFonts w:ascii="David" w:hAnsi="David" w:hint="cs"/>
          <w:rtl/>
        </w:rPr>
        <w:t>.</w:t>
      </w:r>
    </w:p>
    <w:p w:rsidR="00D513AA" w:rsidRDefault="00D513AA" w:rsidP="00432342">
      <w:pPr>
        <w:spacing w:after="120" w:line="360" w:lineRule="auto"/>
        <w:ind w:left="1440" w:hanging="720"/>
        <w:jc w:val="both"/>
        <w:rPr>
          <w:rFonts w:ascii="David" w:hAnsi="David"/>
          <w:rtl/>
        </w:rPr>
      </w:pPr>
      <w:r>
        <w:rPr>
          <w:rFonts w:ascii="David" w:hAnsi="David" w:hint="cs"/>
          <w:rtl/>
        </w:rPr>
        <w:t>ה.</w:t>
      </w:r>
      <w:r>
        <w:rPr>
          <w:rFonts w:ascii="David" w:hAnsi="David" w:hint="cs"/>
          <w:rtl/>
        </w:rPr>
        <w:tab/>
        <w:t xml:space="preserve">טענתה של </w:t>
      </w:r>
      <w:r w:rsidR="00E94E05">
        <w:rPr>
          <w:rFonts w:ascii="David" w:hAnsi="David" w:hint="cs"/>
          <w:rtl/>
        </w:rPr>
        <w:t>מ</w:t>
      </w:r>
      <w:r w:rsidR="00E94E05">
        <w:rPr>
          <w:rFonts w:ascii="David" w:hAnsi="David"/>
          <w:rtl/>
        </w:rPr>
        <w:t>'</w:t>
      </w:r>
      <w:r>
        <w:rPr>
          <w:rFonts w:ascii="David" w:hAnsi="David" w:hint="cs"/>
          <w:rtl/>
        </w:rPr>
        <w:t xml:space="preserve"> כי לא הבינה על מה חתמה במסגרת תצהיר 2011 נדחתה. </w:t>
      </w:r>
      <w:r w:rsidRPr="00E526FC">
        <w:rPr>
          <w:rFonts w:ascii="David" w:hAnsi="David" w:hint="cs"/>
          <w:u w:val="single"/>
          <w:rtl/>
        </w:rPr>
        <w:t>בלשונה של השופטת קמא</w:t>
      </w:r>
      <w:r>
        <w:rPr>
          <w:rFonts w:ascii="David" w:hAnsi="David" w:hint="cs"/>
          <w:rtl/>
        </w:rPr>
        <w:t>:</w:t>
      </w:r>
    </w:p>
    <w:p w:rsidR="00D513AA" w:rsidRPr="00FA6B0A" w:rsidRDefault="00D513AA" w:rsidP="00432342">
      <w:pPr>
        <w:spacing w:after="120" w:line="360" w:lineRule="auto"/>
        <w:ind w:left="2160" w:right="851"/>
        <w:jc w:val="both"/>
        <w:rPr>
          <w:rFonts w:ascii="David" w:hAnsi="David"/>
          <w:b/>
          <w:bCs/>
          <w:rtl/>
        </w:rPr>
      </w:pPr>
      <w:r>
        <w:rPr>
          <w:rFonts w:ascii="David" w:hAnsi="David" w:hint="cs"/>
          <w:b/>
          <w:bCs/>
          <w:rtl/>
        </w:rPr>
        <w:t>"</w:t>
      </w:r>
      <w:r w:rsidRPr="00FA6B0A">
        <w:rPr>
          <w:rFonts w:ascii="David" w:hAnsi="David"/>
          <w:b/>
          <w:bCs/>
          <w:rtl/>
        </w:rPr>
        <w:t>בעדותה לפניי, טענה הנתבעת כי למעשה כלל לא הבינה על מה היא חותמת כאשר חתמה על התצהיר משנת 2011. דין הטענה דחייה.</w:t>
      </w:r>
    </w:p>
    <w:p w:rsidR="00D513AA" w:rsidRDefault="00D513AA" w:rsidP="00432342">
      <w:pPr>
        <w:spacing w:after="120" w:line="360" w:lineRule="auto"/>
        <w:ind w:left="2160" w:right="851"/>
        <w:jc w:val="both"/>
        <w:rPr>
          <w:rFonts w:ascii="David" w:hAnsi="David"/>
          <w:rtl/>
        </w:rPr>
      </w:pPr>
      <w:r w:rsidRPr="00FA6B0A">
        <w:rPr>
          <w:rFonts w:ascii="David" w:hAnsi="David"/>
          <w:b/>
          <w:bCs/>
          <w:rtl/>
        </w:rPr>
        <w:t>התצהיר ברור, הנתבעת יודעת עברית היטב, וניסיונה כעת לשנות את העובדות בדיעבד – לא יצלח. אם הנתבעת לא הבינה על מה היא חותמת – לא הייתה צריכה לחתום על המסמך</w:t>
      </w:r>
      <w:r>
        <w:rPr>
          <w:rFonts w:ascii="David" w:hAnsi="David" w:hint="cs"/>
          <w:b/>
          <w:bCs/>
          <w:rtl/>
        </w:rPr>
        <w:t xml:space="preserve">" </w:t>
      </w:r>
      <w:r>
        <w:rPr>
          <w:rFonts w:ascii="David" w:hAnsi="David" w:hint="cs"/>
          <w:rtl/>
        </w:rPr>
        <w:t xml:space="preserve">(סעיף 9.7 לפסק הדין). </w:t>
      </w:r>
    </w:p>
    <w:p w:rsidR="00D513AA" w:rsidRDefault="00D513AA" w:rsidP="00432342">
      <w:pPr>
        <w:spacing w:after="120" w:line="360" w:lineRule="auto"/>
        <w:ind w:left="1440" w:hanging="720"/>
        <w:jc w:val="both"/>
        <w:rPr>
          <w:rFonts w:ascii="David" w:hAnsi="David"/>
          <w:rtl/>
        </w:rPr>
      </w:pPr>
      <w:r>
        <w:rPr>
          <w:rFonts w:ascii="David" w:hAnsi="David" w:hint="cs"/>
          <w:rtl/>
        </w:rPr>
        <w:t>ו.</w:t>
      </w:r>
      <w:r>
        <w:rPr>
          <w:rFonts w:ascii="David" w:hAnsi="David" w:hint="cs"/>
          <w:rtl/>
        </w:rPr>
        <w:tab/>
        <w:t>נדחתה גם טענת המערערים, כי בתצהיר 2011 קיימת התחייבות עתידית להעברת החנות מ</w:t>
      </w:r>
      <w:r w:rsidR="00E94E05">
        <w:rPr>
          <w:rFonts w:ascii="David" w:hAnsi="David" w:hint="cs"/>
          <w:rtl/>
        </w:rPr>
        <w:t>מ</w:t>
      </w:r>
      <w:r w:rsidR="00E94E05">
        <w:rPr>
          <w:rFonts w:ascii="David" w:hAnsi="David"/>
          <w:rtl/>
        </w:rPr>
        <w:t>'</w:t>
      </w:r>
      <w:r>
        <w:rPr>
          <w:rFonts w:ascii="David" w:hAnsi="David" w:hint="cs"/>
          <w:rtl/>
        </w:rPr>
        <w:t xml:space="preserve"> לאישה, כשקיימת אפשרות לא לקיים ההתחייבות בעתיד. </w:t>
      </w:r>
    </w:p>
    <w:p w:rsidR="00D513AA" w:rsidRDefault="00D513AA" w:rsidP="00432342">
      <w:pPr>
        <w:spacing w:after="120" w:line="360" w:lineRule="auto"/>
        <w:ind w:left="1440" w:hanging="720"/>
        <w:jc w:val="both"/>
        <w:rPr>
          <w:rFonts w:ascii="David" w:hAnsi="David"/>
          <w:rtl/>
        </w:rPr>
      </w:pPr>
      <w:r>
        <w:rPr>
          <w:rFonts w:ascii="David" w:hAnsi="David"/>
          <w:rtl/>
        </w:rPr>
        <w:lastRenderedPageBreak/>
        <w:tab/>
      </w:r>
      <w:r w:rsidRPr="00FA6B0A">
        <w:rPr>
          <w:rFonts w:ascii="David" w:hAnsi="David" w:hint="cs"/>
          <w:u w:val="single"/>
          <w:rtl/>
        </w:rPr>
        <w:t>בנדון ציינה השופטת קמא, כדלקמן</w:t>
      </w:r>
      <w:r>
        <w:rPr>
          <w:rFonts w:ascii="David" w:hAnsi="David" w:hint="cs"/>
          <w:rtl/>
        </w:rPr>
        <w:t>:</w:t>
      </w:r>
    </w:p>
    <w:p w:rsidR="00D513AA" w:rsidRPr="00FF6A87" w:rsidRDefault="00D513AA" w:rsidP="00432342">
      <w:pPr>
        <w:spacing w:after="120" w:line="360" w:lineRule="auto"/>
        <w:ind w:left="2160" w:right="851"/>
        <w:jc w:val="both"/>
        <w:rPr>
          <w:rFonts w:ascii="David" w:hAnsi="David"/>
          <w:b/>
          <w:bCs/>
          <w:rtl/>
        </w:rPr>
      </w:pPr>
      <w:r>
        <w:rPr>
          <w:rFonts w:ascii="David" w:hAnsi="David" w:hint="cs"/>
          <w:b/>
          <w:bCs/>
          <w:rtl/>
        </w:rPr>
        <w:t>"</w:t>
      </w:r>
      <w:r w:rsidRPr="00FF6A87">
        <w:rPr>
          <w:rFonts w:ascii="David" w:hAnsi="David"/>
          <w:b/>
          <w:bCs/>
          <w:rtl/>
        </w:rPr>
        <w:t xml:space="preserve">גם אם מדובר בהתחייבות שמועדה </w:t>
      </w:r>
      <w:r>
        <w:rPr>
          <w:rFonts w:ascii="David" w:hAnsi="David" w:hint="cs"/>
          <w:b/>
          <w:bCs/>
          <w:rtl/>
        </w:rPr>
        <w:t>'</w:t>
      </w:r>
      <w:r w:rsidRPr="00FF6A87">
        <w:rPr>
          <w:rFonts w:ascii="David" w:hAnsi="David"/>
          <w:b/>
          <w:bCs/>
          <w:rtl/>
        </w:rPr>
        <w:t>בעתיד</w:t>
      </w:r>
      <w:r>
        <w:rPr>
          <w:rFonts w:ascii="David" w:hAnsi="David" w:hint="cs"/>
          <w:b/>
          <w:bCs/>
          <w:rtl/>
        </w:rPr>
        <w:t>'</w:t>
      </w:r>
      <w:r w:rsidRPr="00FF6A87">
        <w:rPr>
          <w:rFonts w:ascii="David" w:hAnsi="David"/>
          <w:b/>
          <w:bCs/>
          <w:rtl/>
        </w:rPr>
        <w:t xml:space="preserve"> – עדיין מדובר בהתחייבות שיש לקיים; לנתבעים נוח להיתלות רק במילה 'עתידית' בביטוי בו בחרו להשתמש (התחייבות עתידית) ולראות בה כמשהו ערטילאי, שייתכן ולעולם לא יגיע. אך הם שוכחים שמדובר בהתחייבות לכל דבר ועניין, וההבדל היחיד בינה לבין התחייבות בהווה הוא המועד לקיומה, ולא עצם הקיום.</w:t>
      </w:r>
    </w:p>
    <w:p w:rsidR="00D513AA" w:rsidRDefault="00D513AA" w:rsidP="00432342">
      <w:pPr>
        <w:spacing w:after="120" w:line="360" w:lineRule="auto"/>
        <w:ind w:left="2160" w:right="851"/>
        <w:jc w:val="both"/>
        <w:rPr>
          <w:rFonts w:ascii="David" w:hAnsi="David"/>
          <w:b/>
          <w:bCs/>
          <w:rtl/>
        </w:rPr>
      </w:pPr>
      <w:r w:rsidRPr="00FF6A87">
        <w:rPr>
          <w:rFonts w:ascii="David" w:hAnsi="David"/>
          <w:b/>
          <w:bCs/>
          <w:rtl/>
        </w:rPr>
        <w:t xml:space="preserve">זאת ועוד, גם התחייבות עתידית, שלא הוסכם על מועד קיומה יש לבצע, בהתאם להוראות סע' 41 לחוק החוזים תוך זמן סביר לאחר כריתת החוזה. </w:t>
      </w:r>
    </w:p>
    <w:p w:rsidR="00D513AA" w:rsidRDefault="00D513AA" w:rsidP="00432342">
      <w:pPr>
        <w:spacing w:after="120" w:line="360" w:lineRule="auto"/>
        <w:ind w:left="2160" w:right="851"/>
        <w:jc w:val="both"/>
        <w:rPr>
          <w:rFonts w:ascii="David" w:hAnsi="David"/>
          <w:rtl/>
        </w:rPr>
      </w:pPr>
      <w:r w:rsidRPr="00FF6A87">
        <w:rPr>
          <w:rFonts w:ascii="David" w:hAnsi="David"/>
          <w:b/>
          <w:bCs/>
          <w:rtl/>
        </w:rPr>
        <w:t>קל וחומר שלא ניתן להתחייב בהתחייבות נוגדת, בדמות התצהיר משנת 2021 לטובת הנתבע, שכן לא ניתן לקיים את שתי ההתחייבויות, זו משנ</w:t>
      </w:r>
      <w:r>
        <w:rPr>
          <w:rFonts w:ascii="David" w:hAnsi="David"/>
          <w:b/>
          <w:bCs/>
          <w:rtl/>
        </w:rPr>
        <w:t>ת 2011 וזו משנת 2021 בכפיפה אחת</w:t>
      </w:r>
      <w:r>
        <w:rPr>
          <w:rFonts w:ascii="David" w:hAnsi="David" w:hint="cs"/>
          <w:b/>
          <w:bCs/>
          <w:rtl/>
        </w:rPr>
        <w:t xml:space="preserve">" </w:t>
      </w:r>
      <w:r>
        <w:rPr>
          <w:rFonts w:ascii="David" w:hAnsi="David" w:hint="cs"/>
          <w:rtl/>
        </w:rPr>
        <w:t xml:space="preserve">(סעיף 9.8 לפסק הדין). </w:t>
      </w:r>
    </w:p>
    <w:p w:rsidR="00D513AA" w:rsidRDefault="00D513AA" w:rsidP="00084D20">
      <w:pPr>
        <w:spacing w:after="120" w:line="360" w:lineRule="auto"/>
        <w:ind w:left="1440" w:hanging="720"/>
        <w:jc w:val="both"/>
        <w:rPr>
          <w:rFonts w:ascii="David" w:hAnsi="David"/>
          <w:rtl/>
        </w:rPr>
      </w:pPr>
      <w:r>
        <w:rPr>
          <w:rFonts w:ascii="David" w:hAnsi="David" w:hint="cs"/>
          <w:rtl/>
        </w:rPr>
        <w:t>ז.</w:t>
      </w:r>
      <w:r>
        <w:rPr>
          <w:rFonts w:ascii="David" w:hAnsi="David" w:hint="cs"/>
          <w:rtl/>
        </w:rPr>
        <w:tab/>
        <w:t xml:space="preserve">נדחתה גם טענת </w:t>
      </w:r>
      <w:r w:rsidR="00E94E05">
        <w:rPr>
          <w:rFonts w:ascii="David" w:hAnsi="David" w:hint="cs"/>
          <w:rtl/>
        </w:rPr>
        <w:t>מ</w:t>
      </w:r>
      <w:r w:rsidR="00E94E05">
        <w:rPr>
          <w:rFonts w:ascii="David" w:hAnsi="David"/>
          <w:rtl/>
        </w:rPr>
        <w:t>'</w:t>
      </w:r>
      <w:r>
        <w:rPr>
          <w:rFonts w:ascii="David" w:hAnsi="David" w:hint="cs"/>
          <w:rtl/>
        </w:rPr>
        <w:t xml:space="preserve">, כי כוונתה בתצהיר 2011 הייתה להעברת מלאי החנות לאישה, אך לא את זכויות הקניין בחנות. זאת לעומת תצהיר 2021 בו התכוונה להעביר את זכויות הקניין בחנות לאיש. </w:t>
      </w:r>
    </w:p>
    <w:p w:rsidR="00D513AA" w:rsidRDefault="00D513AA" w:rsidP="00432342">
      <w:pPr>
        <w:spacing w:after="120" w:line="360" w:lineRule="auto"/>
        <w:ind w:left="1440" w:hanging="720"/>
        <w:jc w:val="both"/>
        <w:rPr>
          <w:rFonts w:ascii="David" w:hAnsi="David"/>
          <w:rtl/>
        </w:rPr>
      </w:pPr>
      <w:r>
        <w:rPr>
          <w:rFonts w:ascii="David" w:hAnsi="David"/>
          <w:rtl/>
        </w:rPr>
        <w:tab/>
      </w:r>
      <w:r w:rsidRPr="00FF6A87">
        <w:rPr>
          <w:rFonts w:ascii="David" w:hAnsi="David" w:hint="cs"/>
          <w:u w:val="single"/>
          <w:rtl/>
        </w:rPr>
        <w:t>ציינה בנדון השופטת קמא כי</w:t>
      </w:r>
      <w:r>
        <w:rPr>
          <w:rFonts w:ascii="David" w:hAnsi="David" w:hint="cs"/>
          <w:rtl/>
        </w:rPr>
        <w:t>:</w:t>
      </w:r>
    </w:p>
    <w:p w:rsidR="00D513AA" w:rsidRPr="00FF6A87" w:rsidRDefault="00D513AA" w:rsidP="00432342">
      <w:pPr>
        <w:spacing w:after="120" w:line="360" w:lineRule="auto"/>
        <w:ind w:left="2160" w:right="709"/>
        <w:jc w:val="both"/>
        <w:rPr>
          <w:rFonts w:ascii="David" w:hAnsi="David"/>
          <w:b/>
          <w:bCs/>
          <w:rtl/>
        </w:rPr>
      </w:pPr>
      <w:r>
        <w:rPr>
          <w:rFonts w:ascii="David" w:hAnsi="David" w:hint="cs"/>
          <w:b/>
          <w:bCs/>
          <w:rtl/>
        </w:rPr>
        <w:t>"</w:t>
      </w:r>
      <w:r w:rsidRPr="00FF6A87">
        <w:rPr>
          <w:rFonts w:ascii="David" w:hAnsi="David"/>
          <w:b/>
          <w:bCs/>
          <w:rtl/>
        </w:rPr>
        <w:t>אינ</w:t>
      </w:r>
      <w:r>
        <w:rPr>
          <w:rFonts w:ascii="David" w:hAnsi="David"/>
          <w:b/>
          <w:bCs/>
          <w:rtl/>
        </w:rPr>
        <w:t xml:space="preserve">ני מקבלת את דבריה של הנתבעת כי </w:t>
      </w:r>
      <w:r>
        <w:rPr>
          <w:rFonts w:ascii="David" w:hAnsi="David" w:hint="cs"/>
          <w:b/>
          <w:bCs/>
          <w:rtl/>
        </w:rPr>
        <w:t>'</w:t>
      </w:r>
      <w:r w:rsidRPr="00FF6A87">
        <w:rPr>
          <w:rFonts w:ascii="David" w:hAnsi="David"/>
          <w:b/>
          <w:bCs/>
          <w:rtl/>
        </w:rPr>
        <w:t>לא הבינה</w:t>
      </w:r>
      <w:r>
        <w:rPr>
          <w:rFonts w:ascii="David" w:hAnsi="David" w:hint="cs"/>
          <w:b/>
          <w:bCs/>
          <w:rtl/>
        </w:rPr>
        <w:t>'</w:t>
      </w:r>
      <w:r w:rsidRPr="00FF6A87">
        <w:rPr>
          <w:rFonts w:ascii="David" w:hAnsi="David"/>
          <w:b/>
          <w:bCs/>
          <w:rtl/>
        </w:rPr>
        <w:t xml:space="preserve"> ע</w:t>
      </w:r>
      <w:r>
        <w:rPr>
          <w:rFonts w:ascii="David" w:hAnsi="David"/>
          <w:b/>
          <w:bCs/>
          <w:rtl/>
        </w:rPr>
        <w:t xml:space="preserve">ל מה היא חותמת בשנת 2011 או כי </w:t>
      </w:r>
      <w:r>
        <w:rPr>
          <w:rFonts w:ascii="David" w:hAnsi="David" w:hint="cs"/>
          <w:b/>
          <w:bCs/>
          <w:rtl/>
        </w:rPr>
        <w:t>'</w:t>
      </w:r>
      <w:r w:rsidRPr="00FF6A87">
        <w:rPr>
          <w:rFonts w:ascii="David" w:hAnsi="David"/>
          <w:b/>
          <w:bCs/>
          <w:rtl/>
        </w:rPr>
        <w:t>הבינה יותר טוב</w:t>
      </w:r>
      <w:r>
        <w:rPr>
          <w:rFonts w:ascii="David" w:hAnsi="David" w:hint="cs"/>
          <w:b/>
          <w:bCs/>
          <w:rtl/>
        </w:rPr>
        <w:t>'</w:t>
      </w:r>
      <w:r w:rsidRPr="00FF6A87">
        <w:rPr>
          <w:rFonts w:ascii="David" w:hAnsi="David"/>
          <w:b/>
          <w:bCs/>
          <w:rtl/>
        </w:rPr>
        <w:t xml:space="preserve"> על מה היא חותמת בשנת 2021.</w:t>
      </w:r>
    </w:p>
    <w:p w:rsidR="00D513AA" w:rsidRPr="00FF6A87" w:rsidRDefault="00D513AA" w:rsidP="00432342">
      <w:pPr>
        <w:spacing w:after="120" w:line="360" w:lineRule="auto"/>
        <w:ind w:left="2160" w:right="709"/>
        <w:jc w:val="both"/>
        <w:rPr>
          <w:rFonts w:ascii="David" w:hAnsi="David"/>
          <w:b/>
          <w:bCs/>
          <w:rtl/>
        </w:rPr>
      </w:pPr>
      <w:r w:rsidRPr="00FF6A87">
        <w:rPr>
          <w:rFonts w:ascii="David" w:hAnsi="David"/>
          <w:b/>
          <w:bCs/>
          <w:rtl/>
        </w:rPr>
        <w:t>אדם מוחזק כמבין על מסמכים שהוא חותם עליהם, קל וחומר כאשר מדובר בתצהיר בו הוא מוזהר לומר את האמת, ואם אינו מבין על מה הוא חותם – עליו להימנע מלחתום.</w:t>
      </w:r>
    </w:p>
    <w:p w:rsidR="00D513AA" w:rsidRPr="00FF6A87" w:rsidRDefault="00D513AA" w:rsidP="00432342">
      <w:pPr>
        <w:spacing w:after="120" w:line="360" w:lineRule="auto"/>
        <w:ind w:left="2160" w:right="709"/>
        <w:jc w:val="both"/>
        <w:rPr>
          <w:rFonts w:ascii="David" w:hAnsi="David"/>
          <w:b/>
          <w:bCs/>
          <w:rtl/>
        </w:rPr>
      </w:pPr>
      <w:r w:rsidRPr="00FF6A87">
        <w:rPr>
          <w:rFonts w:ascii="David" w:hAnsi="David"/>
          <w:b/>
          <w:bCs/>
          <w:rtl/>
        </w:rPr>
        <w:lastRenderedPageBreak/>
        <w:t>בנוסף, ואף לו הייתי מקבלת את גרסתה של הנתבעת בעניין זה, כי לא הייתה לה כל כוונה להצהיר שהנכס בבעלות אמה-התובעת והיא רק שומרת אותו עבורה בנאמנות, כפי שרשום במפורש בסע' 3 לתצהיר משנת 2011, בסע' 4 לתצהיר נרשם כי הח</w:t>
      </w:r>
      <w:r>
        <w:rPr>
          <w:rFonts w:ascii="David" w:hAnsi="David"/>
          <w:b/>
          <w:bCs/>
          <w:rtl/>
        </w:rPr>
        <w:t xml:space="preserve">נות המנוהלת בנכס היא של התובעת </w:t>
      </w:r>
      <w:r>
        <w:rPr>
          <w:rFonts w:ascii="David" w:hAnsi="David" w:hint="cs"/>
          <w:b/>
          <w:bCs/>
          <w:rtl/>
        </w:rPr>
        <w:t>'</w:t>
      </w:r>
      <w:r w:rsidRPr="00FF6A87">
        <w:rPr>
          <w:rFonts w:ascii="David" w:hAnsi="David"/>
          <w:b/>
          <w:bCs/>
          <w:rtl/>
        </w:rPr>
        <w:t>כל הזמן</w:t>
      </w:r>
      <w:r>
        <w:rPr>
          <w:rFonts w:ascii="David" w:hAnsi="David" w:hint="cs"/>
          <w:b/>
          <w:bCs/>
          <w:rtl/>
        </w:rPr>
        <w:t>'</w:t>
      </w:r>
      <w:r w:rsidRPr="00FF6A87">
        <w:rPr>
          <w:rFonts w:ascii="David" w:hAnsi="David"/>
          <w:b/>
          <w:bCs/>
          <w:rtl/>
        </w:rPr>
        <w:t xml:space="preserve">. </w:t>
      </w:r>
    </w:p>
    <w:p w:rsidR="00D513AA" w:rsidRDefault="00D513AA" w:rsidP="00432342">
      <w:pPr>
        <w:spacing w:after="120" w:line="360" w:lineRule="auto"/>
        <w:ind w:left="2160" w:right="709"/>
        <w:jc w:val="both"/>
        <w:rPr>
          <w:rFonts w:ascii="David" w:hAnsi="David"/>
          <w:b/>
          <w:bCs/>
          <w:rtl/>
        </w:rPr>
      </w:pPr>
      <w:r w:rsidRPr="00FF6A87">
        <w:rPr>
          <w:rFonts w:ascii="David" w:hAnsi="David"/>
          <w:b/>
          <w:bCs/>
          <w:rtl/>
        </w:rPr>
        <w:t>על כן, ולכל הפחות, התחייבה הנתבעת כי התובעת תוכל להמשיך ולנהל את החנות 'כל הזמן', וגם לו הייתי מגיעה למסקנה אחרת בדבר כוונת הצדדים בהסכם הגירושין או לפרשנות אחרת של התצהיר משנת 2011, עדיין לא היו הנתבעים – או מי מהם – רשאי לפנות את התובעת מהנכס, והיה עליהם להוסיף ולאפשר לה לנהל את המקום וליהנות מפירותיו ללא מגבלת זמן, כלומר - עד אריכות ימיה של התובעת</w:t>
      </w:r>
      <w:r>
        <w:rPr>
          <w:rFonts w:ascii="David" w:hAnsi="David" w:hint="cs"/>
          <w:b/>
          <w:bCs/>
          <w:rtl/>
        </w:rPr>
        <w:t xml:space="preserve">" </w:t>
      </w:r>
      <w:r>
        <w:rPr>
          <w:rFonts w:ascii="David" w:hAnsi="David" w:hint="cs"/>
          <w:rtl/>
        </w:rPr>
        <w:t xml:space="preserve">(סעיפים 9.9.2 </w:t>
      </w:r>
      <w:r>
        <w:rPr>
          <w:rFonts w:ascii="David" w:hAnsi="David"/>
          <w:rtl/>
        </w:rPr>
        <w:t>–</w:t>
      </w:r>
      <w:r>
        <w:rPr>
          <w:rFonts w:ascii="David" w:hAnsi="David" w:hint="cs"/>
          <w:rtl/>
        </w:rPr>
        <w:t xml:space="preserve"> 9.9.3 לפסק הדין). </w:t>
      </w:r>
    </w:p>
    <w:p w:rsidR="00D513AA" w:rsidRDefault="00D513AA" w:rsidP="00432342">
      <w:pPr>
        <w:spacing w:after="120" w:line="360" w:lineRule="auto"/>
        <w:jc w:val="both"/>
        <w:rPr>
          <w:rFonts w:ascii="David" w:hAnsi="David"/>
          <w:rtl/>
        </w:rPr>
      </w:pPr>
      <w:r>
        <w:rPr>
          <w:rFonts w:ascii="David" w:hAnsi="David"/>
          <w:rtl/>
        </w:rPr>
        <w:tab/>
      </w:r>
      <w:r>
        <w:rPr>
          <w:rFonts w:ascii="David" w:hAnsi="David" w:hint="cs"/>
          <w:rtl/>
        </w:rPr>
        <w:t>ח.</w:t>
      </w:r>
      <w:r>
        <w:rPr>
          <w:rFonts w:ascii="David" w:hAnsi="David" w:hint="cs"/>
          <w:rtl/>
        </w:rPr>
        <w:tab/>
      </w:r>
      <w:r w:rsidRPr="00FF6A87">
        <w:rPr>
          <w:rFonts w:ascii="David" w:hAnsi="David" w:hint="cs"/>
          <w:u w:val="single"/>
          <w:rtl/>
        </w:rPr>
        <w:t>השופטת קמא הדגישה כי אינה</w:t>
      </w:r>
      <w:r>
        <w:rPr>
          <w:rFonts w:ascii="David" w:hAnsi="David" w:hint="cs"/>
          <w:u w:val="single"/>
          <w:rtl/>
        </w:rPr>
        <w:t xml:space="preserve"> מאמינה</w:t>
      </w:r>
      <w:r w:rsidRPr="00FF6A87">
        <w:rPr>
          <w:rFonts w:ascii="David" w:hAnsi="David" w:hint="cs"/>
          <w:u w:val="single"/>
          <w:rtl/>
        </w:rPr>
        <w:t xml:space="preserve"> לגרסת האיש בנקודות הבאות</w:t>
      </w:r>
      <w:r>
        <w:rPr>
          <w:rFonts w:ascii="David" w:hAnsi="David" w:hint="cs"/>
          <w:rtl/>
        </w:rPr>
        <w:t>:</w:t>
      </w:r>
    </w:p>
    <w:p w:rsidR="00D513AA" w:rsidRDefault="00D513AA" w:rsidP="00432342">
      <w:pPr>
        <w:spacing w:after="120" w:line="360" w:lineRule="auto"/>
        <w:ind w:left="2160" w:hanging="720"/>
        <w:jc w:val="both"/>
        <w:rPr>
          <w:rFonts w:ascii="David" w:hAnsi="David"/>
          <w:rtl/>
        </w:rPr>
      </w:pPr>
      <w:r>
        <w:rPr>
          <w:rFonts w:ascii="David" w:hAnsi="David" w:hint="cs"/>
          <w:rtl/>
        </w:rPr>
        <w:t>*</w:t>
      </w:r>
      <w:r>
        <w:rPr>
          <w:rFonts w:ascii="David" w:hAnsi="David" w:hint="cs"/>
          <w:rtl/>
        </w:rPr>
        <w:tab/>
        <w:t xml:space="preserve">ביוזמת מי הייתה העברת החנות על שם </w:t>
      </w:r>
      <w:r w:rsidR="00E94E05">
        <w:rPr>
          <w:rFonts w:ascii="David" w:hAnsi="David" w:hint="cs"/>
          <w:rtl/>
        </w:rPr>
        <w:t>מ</w:t>
      </w:r>
      <w:r w:rsidR="00E94E05">
        <w:rPr>
          <w:rFonts w:ascii="David" w:hAnsi="David"/>
          <w:rtl/>
        </w:rPr>
        <w:t>'</w:t>
      </w:r>
      <w:r>
        <w:rPr>
          <w:rFonts w:ascii="David" w:hAnsi="David" w:hint="cs"/>
          <w:rtl/>
        </w:rPr>
        <w:t xml:space="preserve">. תחילה טען כי הדבר היה ביוזמת האישה. לאחר מכן טען כי זו הייתה דרישתו. </w:t>
      </w:r>
    </w:p>
    <w:p w:rsidR="00D513AA" w:rsidRDefault="00D513AA" w:rsidP="00432342">
      <w:pPr>
        <w:spacing w:after="120" w:line="360" w:lineRule="auto"/>
        <w:ind w:left="2160" w:hanging="720"/>
        <w:jc w:val="both"/>
        <w:rPr>
          <w:rFonts w:ascii="David" w:hAnsi="David"/>
          <w:rtl/>
        </w:rPr>
      </w:pPr>
      <w:r>
        <w:rPr>
          <w:rFonts w:ascii="David" w:hAnsi="David" w:hint="cs"/>
          <w:rtl/>
        </w:rPr>
        <w:t>*</w:t>
      </w:r>
      <w:r>
        <w:rPr>
          <w:rFonts w:ascii="David" w:hAnsi="David" w:hint="cs"/>
          <w:rtl/>
        </w:rPr>
        <w:tab/>
        <w:t xml:space="preserve">כי לאישה לא הגיע לקבל דבר מנכסיהם המשותפים במסגרת הגירושין, שכן הוא שילם את החובות המשותפים. </w:t>
      </w:r>
    </w:p>
    <w:p w:rsidR="00D513AA" w:rsidRDefault="00D513AA" w:rsidP="00432342">
      <w:pPr>
        <w:spacing w:after="120" w:line="360" w:lineRule="auto"/>
        <w:ind w:left="2160"/>
        <w:jc w:val="both"/>
        <w:rPr>
          <w:rFonts w:ascii="David" w:hAnsi="David"/>
          <w:rtl/>
        </w:rPr>
      </w:pPr>
      <w:r w:rsidRPr="00E526FC">
        <w:rPr>
          <w:rFonts w:ascii="David" w:hAnsi="David" w:hint="cs"/>
          <w:u w:val="single"/>
          <w:rtl/>
        </w:rPr>
        <w:t>בנדון ציינה השופטת קמא כי</w:t>
      </w:r>
      <w:r>
        <w:rPr>
          <w:rFonts w:ascii="David" w:hAnsi="David" w:hint="cs"/>
          <w:rtl/>
        </w:rPr>
        <w:t xml:space="preserve">: </w:t>
      </w:r>
    </w:p>
    <w:p w:rsidR="00206350" w:rsidRDefault="00D513AA" w:rsidP="006D4AC5">
      <w:pPr>
        <w:spacing w:after="120" w:line="360" w:lineRule="auto"/>
        <w:ind w:left="2880" w:right="1134"/>
        <w:jc w:val="both"/>
        <w:rPr>
          <w:rFonts w:ascii="David" w:hAnsi="David"/>
          <w:rtl/>
        </w:rPr>
      </w:pPr>
      <w:r>
        <w:rPr>
          <w:rFonts w:ascii="David" w:hAnsi="David" w:hint="cs"/>
          <w:b/>
          <w:bCs/>
          <w:rtl/>
        </w:rPr>
        <w:t>"</w:t>
      </w:r>
      <w:r w:rsidRPr="00164EC6">
        <w:rPr>
          <w:rFonts w:ascii="David" w:hAnsi="David"/>
          <w:b/>
          <w:bCs/>
          <w:rtl/>
        </w:rPr>
        <w:t>אלא שהנתבע לא הביא כל ראיה לכך שהוא שילם את כל החובות המשותפים, לא הביא כל ראיה לשווי הנכסים המשותפים, וטענותיו לפיהן לתובעת 'לא מגיע דבר' כמו גם הנימוק שמאחורי טענה זו – נטענו בעלמא, וללא הוכחה</w:t>
      </w:r>
      <w:r>
        <w:rPr>
          <w:rFonts w:ascii="David" w:hAnsi="David" w:hint="cs"/>
          <w:b/>
          <w:bCs/>
          <w:rtl/>
        </w:rPr>
        <w:t xml:space="preserve">" </w:t>
      </w:r>
      <w:r>
        <w:rPr>
          <w:rFonts w:ascii="David" w:hAnsi="David" w:hint="cs"/>
          <w:rtl/>
        </w:rPr>
        <w:t>(סעיף 12.3 לפסק הדין).</w:t>
      </w:r>
    </w:p>
    <w:p w:rsidR="00D513AA" w:rsidRDefault="00D513AA" w:rsidP="00432342">
      <w:pPr>
        <w:spacing w:after="120" w:line="360" w:lineRule="auto"/>
        <w:ind w:right="1134"/>
        <w:jc w:val="both"/>
        <w:rPr>
          <w:rFonts w:ascii="David" w:hAnsi="David"/>
          <w:rtl/>
        </w:rPr>
      </w:pPr>
      <w:r>
        <w:rPr>
          <w:rFonts w:ascii="David" w:hAnsi="David"/>
          <w:b/>
          <w:bCs/>
          <w:rtl/>
        </w:rPr>
        <w:tab/>
      </w:r>
      <w:r>
        <w:rPr>
          <w:rFonts w:ascii="David" w:hAnsi="David"/>
          <w:b/>
          <w:bCs/>
          <w:rtl/>
        </w:rPr>
        <w:tab/>
      </w:r>
      <w:r>
        <w:rPr>
          <w:rFonts w:ascii="David" w:hAnsi="David"/>
          <w:b/>
          <w:bCs/>
          <w:rtl/>
        </w:rPr>
        <w:tab/>
      </w:r>
      <w:r w:rsidRPr="00164EC6">
        <w:rPr>
          <w:rFonts w:ascii="David" w:hAnsi="David" w:hint="cs"/>
          <w:u w:val="single"/>
          <w:rtl/>
        </w:rPr>
        <w:t>וכן</w:t>
      </w:r>
      <w:r>
        <w:rPr>
          <w:rFonts w:ascii="David" w:hAnsi="David" w:hint="cs"/>
          <w:rtl/>
        </w:rPr>
        <w:t>:</w:t>
      </w:r>
    </w:p>
    <w:p w:rsidR="00D513AA" w:rsidRPr="00164EC6" w:rsidRDefault="00D513AA" w:rsidP="00432342">
      <w:pPr>
        <w:spacing w:after="120" w:line="360" w:lineRule="auto"/>
        <w:ind w:left="2880" w:right="1134"/>
        <w:jc w:val="both"/>
        <w:rPr>
          <w:rFonts w:ascii="David" w:hAnsi="David"/>
          <w:rtl/>
        </w:rPr>
      </w:pPr>
      <w:r>
        <w:rPr>
          <w:rFonts w:ascii="David" w:hAnsi="David" w:hint="cs"/>
          <w:b/>
          <w:bCs/>
          <w:rtl/>
        </w:rPr>
        <w:lastRenderedPageBreak/>
        <w:t>"</w:t>
      </w:r>
      <w:r w:rsidRPr="00164EC6">
        <w:rPr>
          <w:rFonts w:ascii="David" w:hAnsi="David"/>
          <w:b/>
          <w:bCs/>
          <w:rtl/>
        </w:rPr>
        <w:t>בהמשך דבריו, טען הנתבע כי הסכים שהנכס יירשם ע"ש הנתבעת כ'מחווה' (עמ' 64 ש' 5), למרות שלא ברור מדוע עליו לתת לתובעת 'מחווה' כלשהי, נוכח טענותיו שהוא נטל על עצמו את תשלום החובות המשותפים</w:t>
      </w:r>
      <w:r>
        <w:rPr>
          <w:rFonts w:ascii="David" w:hAnsi="David" w:hint="cs"/>
          <w:b/>
          <w:bCs/>
          <w:rtl/>
        </w:rPr>
        <w:t xml:space="preserve">" </w:t>
      </w:r>
      <w:r>
        <w:rPr>
          <w:rFonts w:ascii="David" w:hAnsi="David" w:hint="cs"/>
          <w:rtl/>
        </w:rPr>
        <w:t>(סעיף 12.4 לפסק הדין).</w:t>
      </w:r>
    </w:p>
    <w:p w:rsidR="00D513AA" w:rsidRDefault="00D513AA" w:rsidP="00432342">
      <w:pPr>
        <w:spacing w:after="120" w:line="360" w:lineRule="auto"/>
        <w:ind w:left="2160" w:hanging="720"/>
        <w:jc w:val="both"/>
        <w:rPr>
          <w:rFonts w:ascii="David" w:hAnsi="David"/>
          <w:rtl/>
        </w:rPr>
      </w:pPr>
      <w:r>
        <w:rPr>
          <w:rFonts w:ascii="David" w:hAnsi="David"/>
          <w:rtl/>
        </w:rPr>
        <w:t>*</w:t>
      </w:r>
      <w:r>
        <w:rPr>
          <w:rFonts w:ascii="David" w:hAnsi="David"/>
          <w:rtl/>
        </w:rPr>
        <w:tab/>
      </w:r>
      <w:r>
        <w:rPr>
          <w:rFonts w:ascii="David" w:hAnsi="David" w:hint="cs"/>
          <w:rtl/>
        </w:rPr>
        <w:t>כי האישה חתמה על חוזי שכירות של החנות מול האיש, באופן המלמד על הודאתה כי החנות שייכת לאיש.</w:t>
      </w:r>
    </w:p>
    <w:p w:rsidR="00D513AA" w:rsidRDefault="00D513AA" w:rsidP="00432342">
      <w:pPr>
        <w:spacing w:after="120" w:line="360" w:lineRule="auto"/>
        <w:ind w:left="2160" w:hanging="720"/>
        <w:jc w:val="both"/>
        <w:rPr>
          <w:rFonts w:ascii="David" w:hAnsi="David"/>
          <w:rtl/>
        </w:rPr>
      </w:pPr>
      <w:r>
        <w:rPr>
          <w:rFonts w:ascii="David" w:hAnsi="David"/>
          <w:rtl/>
        </w:rPr>
        <w:tab/>
      </w:r>
      <w:r>
        <w:rPr>
          <w:rFonts w:ascii="David" w:hAnsi="David" w:hint="cs"/>
          <w:rtl/>
        </w:rPr>
        <w:t xml:space="preserve">בנדון ציינה השופטת קמא, כי חוזי השכירות נחתמו מול האישה אך ורק  בכדי שחיובי הארנונה של העירייה יהיו על שמה. ולראייה </w:t>
      </w:r>
      <w:r>
        <w:rPr>
          <w:rFonts w:ascii="David" w:hAnsi="David"/>
          <w:rtl/>
        </w:rPr>
        <w:t>–</w:t>
      </w:r>
      <w:r>
        <w:rPr>
          <w:rFonts w:ascii="David" w:hAnsi="David" w:hint="cs"/>
          <w:rtl/>
        </w:rPr>
        <w:t xml:space="preserve"> עיון בחוזי השכירות מלמד, כי מלבד תשלום ארנונה לא נדרשה האישה לשלם דמי שכירות. </w:t>
      </w:r>
    </w:p>
    <w:p w:rsidR="00D513AA" w:rsidRDefault="00D513AA" w:rsidP="00432342">
      <w:pPr>
        <w:spacing w:after="120" w:line="360" w:lineRule="auto"/>
        <w:jc w:val="both"/>
        <w:rPr>
          <w:rFonts w:ascii="David" w:hAnsi="David"/>
          <w:rtl/>
        </w:rPr>
      </w:pPr>
      <w:r>
        <w:rPr>
          <w:rFonts w:ascii="David" w:hAnsi="David"/>
          <w:rtl/>
        </w:rPr>
        <w:tab/>
      </w:r>
      <w:r>
        <w:rPr>
          <w:rFonts w:ascii="David" w:hAnsi="David" w:hint="cs"/>
          <w:rtl/>
        </w:rPr>
        <w:t>ט.</w:t>
      </w:r>
      <w:r>
        <w:rPr>
          <w:rFonts w:ascii="David" w:hAnsi="David" w:hint="cs"/>
          <w:rtl/>
        </w:rPr>
        <w:tab/>
      </w:r>
      <w:r w:rsidRPr="00164EC6">
        <w:rPr>
          <w:rFonts w:ascii="David" w:hAnsi="David" w:hint="cs"/>
          <w:u w:val="single"/>
          <w:rtl/>
        </w:rPr>
        <w:t>סיכמה השופטת קמא את אי מהימנות האיש בנדון, במילים הבאות</w:t>
      </w:r>
      <w:r>
        <w:rPr>
          <w:rFonts w:ascii="David" w:hAnsi="David" w:hint="cs"/>
          <w:rtl/>
        </w:rPr>
        <w:t>:</w:t>
      </w:r>
    </w:p>
    <w:p w:rsidR="00D513AA" w:rsidRPr="001215D9" w:rsidRDefault="00D513AA" w:rsidP="00432342">
      <w:pPr>
        <w:spacing w:after="120" w:line="360" w:lineRule="auto"/>
        <w:ind w:right="709"/>
        <w:jc w:val="both"/>
        <w:rPr>
          <w:rFonts w:ascii="David" w:hAnsi="David"/>
          <w:b/>
          <w:bCs/>
          <w:rtl/>
        </w:rPr>
      </w:pPr>
      <w:r>
        <w:rPr>
          <w:rFonts w:ascii="David" w:hAnsi="David"/>
          <w:rtl/>
        </w:rPr>
        <w:tab/>
      </w:r>
      <w:r>
        <w:rPr>
          <w:rFonts w:ascii="David" w:hAnsi="David"/>
          <w:rtl/>
        </w:rPr>
        <w:tab/>
      </w:r>
      <w:r>
        <w:rPr>
          <w:rFonts w:ascii="David" w:hAnsi="David"/>
          <w:rtl/>
        </w:rPr>
        <w:tab/>
      </w:r>
      <w:r>
        <w:rPr>
          <w:rFonts w:ascii="David" w:hAnsi="David" w:hint="cs"/>
          <w:b/>
          <w:bCs/>
          <w:rtl/>
        </w:rPr>
        <w:t>"</w:t>
      </w:r>
      <w:r w:rsidRPr="001215D9">
        <w:rPr>
          <w:rFonts w:ascii="David" w:hAnsi="David"/>
          <w:b/>
          <w:bCs/>
          <w:rtl/>
        </w:rPr>
        <w:t xml:space="preserve">אומר זאת באופן הברור ביותר: אינני מאמינה לנתבע. </w:t>
      </w:r>
    </w:p>
    <w:p w:rsidR="00D513AA" w:rsidRPr="001215D9" w:rsidRDefault="00D513AA" w:rsidP="00432342">
      <w:pPr>
        <w:spacing w:after="120" w:line="360" w:lineRule="auto"/>
        <w:ind w:left="2160" w:right="709"/>
        <w:jc w:val="both"/>
        <w:rPr>
          <w:rFonts w:ascii="David" w:hAnsi="David"/>
          <w:b/>
          <w:bCs/>
          <w:rtl/>
        </w:rPr>
      </w:pPr>
      <w:r w:rsidRPr="001215D9">
        <w:rPr>
          <w:rFonts w:ascii="David" w:hAnsi="David"/>
          <w:b/>
          <w:bCs/>
          <w:rtl/>
        </w:rPr>
        <w:t>אינני מאמינה לו שהתובעת ביקשה לנסח את סע' 11 להסכם הגירושין כפי שנרשם, אינני מאמינה לו שהוא לא הסכים שהנכס יהיה בבעלותה של התובעת, אינני מאמינה לו שחוזי השכירות אינם חוזים למראית עין, בדומה להוראת סע' 11 להסכם הגירושין, המהווה הוראה למראית עין לפיה הנכס כביכול אינו של מי מהצדדים אלא של בתם הנתבעת.</w:t>
      </w:r>
    </w:p>
    <w:p w:rsidR="00D513AA" w:rsidRPr="001215D9" w:rsidRDefault="00D513AA" w:rsidP="00432342">
      <w:pPr>
        <w:spacing w:after="120" w:line="360" w:lineRule="auto"/>
        <w:ind w:left="2160" w:right="709"/>
        <w:jc w:val="both"/>
        <w:rPr>
          <w:rFonts w:ascii="David" w:hAnsi="David"/>
          <w:b/>
          <w:bCs/>
          <w:rtl/>
        </w:rPr>
      </w:pPr>
      <w:r w:rsidRPr="001215D9">
        <w:rPr>
          <w:rFonts w:ascii="David" w:hAnsi="David"/>
          <w:b/>
          <w:bCs/>
          <w:rtl/>
        </w:rPr>
        <w:t>לתובעת ולנתבע היו חובות רבים עת נחתם הסכם הגירושין, ולשניהם היה עניין רב שנושיהם לא יוכלו לשים את ידם על נכסיהם.</w:t>
      </w:r>
    </w:p>
    <w:p w:rsidR="00D513AA" w:rsidRPr="001215D9" w:rsidRDefault="00D513AA" w:rsidP="00432342">
      <w:pPr>
        <w:spacing w:after="120" w:line="360" w:lineRule="auto"/>
        <w:ind w:left="2160" w:right="709"/>
        <w:jc w:val="both"/>
        <w:rPr>
          <w:rFonts w:ascii="David" w:hAnsi="David"/>
          <w:b/>
          <w:bCs/>
          <w:rtl/>
        </w:rPr>
      </w:pPr>
      <w:r w:rsidRPr="001215D9">
        <w:rPr>
          <w:rFonts w:ascii="David" w:hAnsi="David"/>
          <w:b/>
          <w:bCs/>
          <w:rtl/>
        </w:rPr>
        <w:t>התצהיר משנת 2011 שנערך ע"י הנתבעת מלמד על כוונתם האמיתית והנכונה של הצדדים בזמן אמת: רישום הנכס ע"ש הנתבעת בנאמנות עבור התובעת, עד שהתובעת תבקש להעביר את הרישום על שמה. התצהיר נערך בזמן אמת, בתום לב ובאמונה שלמה של הנתבעת כי מה שרשום בו הוא נכון וצודק. הנתבעת הבינה היטב על מה היא חותמת, ואיש לא הכריח אותה להצהיר אמת בתצהיר עליו חתמה.</w:t>
      </w:r>
    </w:p>
    <w:p w:rsidR="00D513AA" w:rsidRPr="00FF6A87" w:rsidRDefault="00D513AA" w:rsidP="00432342">
      <w:pPr>
        <w:spacing w:after="120" w:line="360" w:lineRule="auto"/>
        <w:ind w:left="2160" w:right="709"/>
        <w:jc w:val="both"/>
        <w:rPr>
          <w:rFonts w:ascii="David" w:hAnsi="David"/>
          <w:b/>
          <w:bCs/>
          <w:rtl/>
        </w:rPr>
      </w:pPr>
      <w:r w:rsidRPr="001215D9">
        <w:rPr>
          <w:rFonts w:ascii="David" w:hAnsi="David"/>
          <w:b/>
          <w:bCs/>
          <w:rtl/>
        </w:rPr>
        <w:lastRenderedPageBreak/>
        <w:t>כל תצהיר שנחתם לאחר מכן</w:t>
      </w:r>
      <w:r>
        <w:rPr>
          <w:rFonts w:ascii="David" w:hAnsi="David" w:hint="cs"/>
          <w:b/>
          <w:bCs/>
          <w:rtl/>
        </w:rPr>
        <w:t xml:space="preserve"> </w:t>
      </w:r>
      <w:r>
        <w:rPr>
          <w:rFonts w:ascii="David" w:hAnsi="David" w:hint="cs"/>
          <w:rtl/>
        </w:rPr>
        <w:t xml:space="preserve">(והכוונה לתצהיר 2021 </w:t>
      </w:r>
      <w:r>
        <w:rPr>
          <w:rFonts w:ascii="David" w:hAnsi="David"/>
          <w:rtl/>
        </w:rPr>
        <w:t>–</w:t>
      </w:r>
      <w:r>
        <w:rPr>
          <w:rFonts w:ascii="David" w:hAnsi="David" w:hint="cs"/>
          <w:rtl/>
        </w:rPr>
        <w:t xml:space="preserve"> ח"ש)</w:t>
      </w:r>
      <w:r w:rsidRPr="001215D9">
        <w:rPr>
          <w:rFonts w:ascii="David" w:hAnsi="David"/>
          <w:b/>
          <w:bCs/>
          <w:rtl/>
        </w:rPr>
        <w:t xml:space="preserve"> מנסה לשנות את ההסכמות המשפטיות המחייבות בין הצדדים בדיעבד ושלא כדין, ותוך ניסיון</w:t>
      </w:r>
      <w:r>
        <w:rPr>
          <w:rFonts w:ascii="David" w:hAnsi="David"/>
          <w:b/>
          <w:bCs/>
          <w:rtl/>
        </w:rPr>
        <w:t xml:space="preserve"> לגזול מהתובעת את זכויותיה בנכס</w:t>
      </w:r>
      <w:r>
        <w:rPr>
          <w:rFonts w:ascii="David" w:hAnsi="David" w:hint="cs"/>
          <w:b/>
          <w:bCs/>
          <w:rtl/>
        </w:rPr>
        <w:t>".</w:t>
      </w:r>
    </w:p>
    <w:p w:rsidR="00D513AA" w:rsidRDefault="00D513AA" w:rsidP="00432342">
      <w:pPr>
        <w:spacing w:after="120" w:line="360" w:lineRule="auto"/>
        <w:ind w:left="720" w:hanging="720"/>
        <w:jc w:val="both"/>
        <w:rPr>
          <w:rFonts w:ascii="David" w:hAnsi="David"/>
          <w:rtl/>
        </w:rPr>
      </w:pPr>
      <w:r>
        <w:rPr>
          <w:rFonts w:ascii="David" w:hAnsi="David" w:hint="cs"/>
          <w:rtl/>
        </w:rPr>
        <w:t>18.</w:t>
      </w:r>
      <w:r>
        <w:rPr>
          <w:rFonts w:ascii="David" w:hAnsi="David" w:hint="cs"/>
          <w:rtl/>
        </w:rPr>
        <w:tab/>
      </w:r>
      <w:r w:rsidRPr="004A2AE1">
        <w:rPr>
          <w:rFonts w:ascii="David" w:hAnsi="David" w:hint="cs"/>
          <w:u w:val="single"/>
          <w:rtl/>
        </w:rPr>
        <w:t>לאור כל האמור לעיל סיכמה</w:t>
      </w:r>
      <w:r w:rsidRPr="00FF6A87">
        <w:rPr>
          <w:rFonts w:ascii="David" w:hAnsi="David" w:hint="cs"/>
          <w:u w:val="single"/>
          <w:rtl/>
        </w:rPr>
        <w:t xml:space="preserve"> השופטת קמא את מסקנותיה בסעיפים 10-11 לפסק הדי</w:t>
      </w:r>
      <w:r>
        <w:rPr>
          <w:rFonts w:ascii="David" w:hAnsi="David" w:hint="cs"/>
          <w:u w:val="single"/>
          <w:rtl/>
        </w:rPr>
        <w:t>ן</w:t>
      </w:r>
      <w:r w:rsidRPr="00FF6A87">
        <w:rPr>
          <w:rFonts w:ascii="David" w:hAnsi="David" w:hint="cs"/>
          <w:u w:val="single"/>
          <w:rtl/>
        </w:rPr>
        <w:t xml:space="preserve"> במילים הבאות</w:t>
      </w:r>
      <w:r>
        <w:rPr>
          <w:rFonts w:ascii="David" w:hAnsi="David" w:hint="cs"/>
          <w:rtl/>
        </w:rPr>
        <w:t>:</w:t>
      </w:r>
    </w:p>
    <w:p w:rsidR="00D513AA" w:rsidRPr="00FF6A87" w:rsidRDefault="00D513AA" w:rsidP="00432342">
      <w:pPr>
        <w:spacing w:after="120" w:line="360" w:lineRule="auto"/>
        <w:ind w:left="2160" w:right="567"/>
        <w:jc w:val="both"/>
        <w:rPr>
          <w:rFonts w:ascii="David" w:hAnsi="David"/>
          <w:b/>
          <w:bCs/>
          <w:rtl/>
        </w:rPr>
      </w:pPr>
      <w:r>
        <w:rPr>
          <w:rFonts w:ascii="David" w:hAnsi="David" w:hint="cs"/>
          <w:b/>
          <w:bCs/>
          <w:rtl/>
        </w:rPr>
        <w:t>"</w:t>
      </w:r>
      <w:r w:rsidRPr="00FF6A87">
        <w:rPr>
          <w:rFonts w:ascii="David" w:hAnsi="David"/>
          <w:b/>
          <w:bCs/>
          <w:rtl/>
        </w:rPr>
        <w:t>10.</w:t>
      </w:r>
      <w:r w:rsidRPr="00FF6A87">
        <w:rPr>
          <w:rFonts w:ascii="David" w:hAnsi="David"/>
          <w:b/>
          <w:bCs/>
          <w:rtl/>
        </w:rPr>
        <w:tab/>
        <w:t xml:space="preserve">מכל המפורט עד כה עולה, כי בשנת 2011 הצהירה הנתבעת כי הנכס </w:t>
      </w:r>
      <w:r w:rsidR="00FD3729">
        <w:rPr>
          <w:rFonts w:ascii="David" w:hAnsi="David"/>
          <w:b/>
          <w:bCs/>
          <w:rtl/>
        </w:rPr>
        <w:tab/>
      </w:r>
      <w:r w:rsidRPr="00FF6A87">
        <w:rPr>
          <w:rFonts w:ascii="David" w:hAnsi="David"/>
          <w:b/>
          <w:bCs/>
          <w:rtl/>
        </w:rPr>
        <w:t xml:space="preserve">אותו ביקשו הוריה בהסכם הגירושין ביניהם לרשום על שמה – שייך </w:t>
      </w:r>
      <w:r w:rsidR="00FD3729">
        <w:rPr>
          <w:rFonts w:ascii="David" w:hAnsi="David"/>
          <w:b/>
          <w:bCs/>
          <w:rtl/>
        </w:rPr>
        <w:tab/>
      </w:r>
      <w:r w:rsidRPr="00FF6A87">
        <w:rPr>
          <w:rFonts w:ascii="David" w:hAnsi="David"/>
          <w:b/>
          <w:bCs/>
          <w:rtl/>
        </w:rPr>
        <w:t xml:space="preserve">למעשה לתובעת, ולה בלבד. הנתבעת התחייבה להעביר את הזכויות </w:t>
      </w:r>
      <w:r w:rsidR="00FD3729">
        <w:rPr>
          <w:rFonts w:ascii="David" w:hAnsi="David"/>
          <w:b/>
          <w:bCs/>
          <w:rtl/>
        </w:rPr>
        <w:tab/>
      </w:r>
      <w:r w:rsidRPr="00FF6A87">
        <w:rPr>
          <w:rFonts w:ascii="David" w:hAnsi="David"/>
          <w:b/>
          <w:bCs/>
          <w:rtl/>
        </w:rPr>
        <w:t xml:space="preserve">על שם אמה, התובעת, מיד כשזו תבקש ממנה לעשות כן. </w:t>
      </w:r>
    </w:p>
    <w:p w:rsidR="00D513AA" w:rsidRPr="00FF6A87" w:rsidRDefault="00D513AA" w:rsidP="00432342">
      <w:pPr>
        <w:spacing w:after="120" w:line="360" w:lineRule="auto"/>
        <w:ind w:left="2880" w:right="567" w:hanging="720"/>
        <w:jc w:val="both"/>
        <w:rPr>
          <w:rFonts w:ascii="David" w:hAnsi="David"/>
          <w:b/>
          <w:bCs/>
          <w:rtl/>
        </w:rPr>
      </w:pPr>
      <w:r w:rsidRPr="00FF6A87">
        <w:rPr>
          <w:rFonts w:ascii="David" w:hAnsi="David"/>
          <w:b/>
          <w:bCs/>
          <w:rtl/>
        </w:rPr>
        <w:t>10.1</w:t>
      </w:r>
      <w:r w:rsidRPr="00FF6A87">
        <w:rPr>
          <w:rFonts w:ascii="David" w:hAnsi="David"/>
          <w:b/>
          <w:bCs/>
          <w:rtl/>
        </w:rPr>
        <w:tab/>
        <w:t>הצהרת הנתבעת בשנת 2011 אינה מהווה העברת זכויות, אלא הצהרה על קיומן בלבד. משכך, אין הנתבעת יכולה "לחזור בה מהעברת הזכויות" מאמה לאביה, שכן מלכתחילה לא היו הזכויות בנכס של הנתבעת כדי להעבירן למי מהוריה.</w:t>
      </w:r>
      <w:r>
        <w:rPr>
          <w:rFonts w:ascii="David" w:hAnsi="David"/>
          <w:b/>
          <w:bCs/>
          <w:rtl/>
        </w:rPr>
        <w:tab/>
      </w:r>
    </w:p>
    <w:p w:rsidR="00D513AA" w:rsidRPr="00FF6A87" w:rsidRDefault="00D513AA" w:rsidP="00432342">
      <w:pPr>
        <w:spacing w:after="120" w:line="360" w:lineRule="auto"/>
        <w:ind w:left="2880" w:right="567" w:hanging="720"/>
        <w:jc w:val="both"/>
        <w:rPr>
          <w:rFonts w:ascii="David" w:hAnsi="David"/>
          <w:b/>
          <w:bCs/>
          <w:rtl/>
        </w:rPr>
      </w:pPr>
      <w:r w:rsidRPr="00FF6A87">
        <w:rPr>
          <w:rFonts w:ascii="David" w:hAnsi="David"/>
          <w:b/>
          <w:bCs/>
          <w:rtl/>
        </w:rPr>
        <w:t>10.2</w:t>
      </w:r>
      <w:r w:rsidRPr="00FF6A87">
        <w:rPr>
          <w:rFonts w:ascii="David" w:hAnsi="David"/>
          <w:b/>
          <w:bCs/>
          <w:rtl/>
        </w:rPr>
        <w:tab/>
        <w:t>מלכתחילה, כוונתם של ההורים (התובעת והנתבע) הייתה כי הנכס יהיה בבעלותה היחידה של התובעת.</w:t>
      </w:r>
    </w:p>
    <w:p w:rsidR="00D513AA" w:rsidRPr="00FF6A87" w:rsidRDefault="00D513AA" w:rsidP="00432342">
      <w:pPr>
        <w:spacing w:after="120" w:line="360" w:lineRule="auto"/>
        <w:ind w:left="2880" w:right="567" w:hanging="720"/>
        <w:jc w:val="both"/>
        <w:rPr>
          <w:rFonts w:ascii="David" w:hAnsi="David"/>
          <w:b/>
          <w:bCs/>
          <w:rtl/>
        </w:rPr>
      </w:pPr>
      <w:r w:rsidRPr="00FF6A87">
        <w:rPr>
          <w:rFonts w:ascii="David" w:hAnsi="David"/>
          <w:b/>
          <w:bCs/>
          <w:rtl/>
        </w:rPr>
        <w:t>10.3</w:t>
      </w:r>
      <w:r w:rsidRPr="00FF6A87">
        <w:rPr>
          <w:rFonts w:ascii="David" w:hAnsi="David"/>
          <w:b/>
          <w:bCs/>
          <w:rtl/>
        </w:rPr>
        <w:tab/>
        <w:t>כפי שציינתי לעיל, הטעם בעטיו הנכס לא נרשם על שמה של הנתבעת נעוץ במחדלו של הנתבע לרשום את הנכס על שמו</w:t>
      </w:r>
      <w:r>
        <w:rPr>
          <w:rFonts w:ascii="David" w:hAnsi="David" w:hint="cs"/>
          <w:b/>
          <w:bCs/>
          <w:rtl/>
        </w:rPr>
        <w:t>...</w:t>
      </w:r>
      <w:r w:rsidRPr="00FF6A87">
        <w:rPr>
          <w:rFonts w:ascii="David" w:hAnsi="David"/>
          <w:b/>
          <w:bCs/>
          <w:rtl/>
        </w:rPr>
        <w:t xml:space="preserve"> בהתאם להסכם שנחתם ביניהם בשנת 2001. </w:t>
      </w:r>
    </w:p>
    <w:p w:rsidR="00D513AA" w:rsidRPr="00FF6A87" w:rsidRDefault="00D513AA" w:rsidP="00432342">
      <w:pPr>
        <w:spacing w:after="120" w:line="360" w:lineRule="auto"/>
        <w:ind w:left="2880" w:right="567" w:hanging="720"/>
        <w:jc w:val="both"/>
        <w:rPr>
          <w:rFonts w:ascii="David" w:hAnsi="David"/>
          <w:b/>
          <w:bCs/>
          <w:rtl/>
        </w:rPr>
      </w:pPr>
      <w:r w:rsidRPr="00FF6A87">
        <w:rPr>
          <w:rFonts w:ascii="David" w:hAnsi="David"/>
          <w:b/>
          <w:bCs/>
          <w:rtl/>
        </w:rPr>
        <w:t>10.4</w:t>
      </w:r>
      <w:r w:rsidRPr="00FF6A87">
        <w:rPr>
          <w:rFonts w:ascii="David" w:hAnsi="David"/>
          <w:b/>
          <w:bCs/>
          <w:rtl/>
        </w:rPr>
        <w:tab/>
        <w:t>כל עוד הנכס לא נרשם על שמו של הנתבע – לא ניתן היה לבצע את הוראות הסכם הגירושין משנת 2010 או את הוראות התצהיר משנת 2011, ולבצע העברת זכויות בנכס בפנקסי חברת עמידר.</w:t>
      </w:r>
    </w:p>
    <w:p w:rsidR="00D513AA" w:rsidRPr="00FF6A87" w:rsidRDefault="00D513AA" w:rsidP="00432342">
      <w:pPr>
        <w:spacing w:after="120" w:line="360" w:lineRule="auto"/>
        <w:ind w:left="2880" w:right="567"/>
        <w:jc w:val="both"/>
        <w:rPr>
          <w:rFonts w:ascii="David" w:hAnsi="David"/>
          <w:b/>
          <w:bCs/>
          <w:rtl/>
        </w:rPr>
      </w:pPr>
      <w:r w:rsidRPr="00FF6A87">
        <w:rPr>
          <w:rFonts w:ascii="David" w:hAnsi="David"/>
          <w:b/>
          <w:bCs/>
          <w:rtl/>
        </w:rPr>
        <w:t>מדובר בעיכוב טכני בלבד, ולא בעיכוב מהותי, שכן אין מחלוקת על כך שהזכויות בנכס הועברו לנתבע מ</w:t>
      </w:r>
      <w:r>
        <w:rPr>
          <w:rFonts w:ascii="David" w:hAnsi="David" w:hint="cs"/>
          <w:b/>
          <w:bCs/>
          <w:rtl/>
        </w:rPr>
        <w:t>...</w:t>
      </w:r>
      <w:r w:rsidRPr="00FF6A87">
        <w:rPr>
          <w:rFonts w:ascii="David" w:hAnsi="David"/>
          <w:b/>
          <w:bCs/>
          <w:rtl/>
        </w:rPr>
        <w:t xml:space="preserve"> והעסקה בין השניים משנת 2001 יצאה אל הפועל והושלמה ברישום בשנת 2022.</w:t>
      </w:r>
    </w:p>
    <w:p w:rsidR="00D513AA" w:rsidRPr="00FF6A87" w:rsidRDefault="00D513AA" w:rsidP="00432342">
      <w:pPr>
        <w:spacing w:after="120" w:line="360" w:lineRule="auto"/>
        <w:ind w:left="2880" w:right="567" w:hanging="720"/>
        <w:jc w:val="both"/>
        <w:rPr>
          <w:rFonts w:ascii="David" w:hAnsi="David"/>
          <w:b/>
          <w:bCs/>
          <w:rtl/>
        </w:rPr>
      </w:pPr>
      <w:r w:rsidRPr="00FF6A87">
        <w:rPr>
          <w:rFonts w:ascii="David" w:hAnsi="David"/>
          <w:b/>
          <w:bCs/>
          <w:rtl/>
        </w:rPr>
        <w:lastRenderedPageBreak/>
        <w:t>10.5</w:t>
      </w:r>
      <w:r w:rsidRPr="00FF6A87">
        <w:rPr>
          <w:rFonts w:ascii="David" w:hAnsi="David"/>
          <w:b/>
          <w:bCs/>
          <w:rtl/>
        </w:rPr>
        <w:tab/>
        <w:t>בנוסף, ולכל הפחות, בשנת 2011 הצהירה הנתבעת – מי שאמורה הייתה להירשם כבעלת הזכויות בנכס מכוחו של הסכם הגירושין בין התובעת והנתבע, כי לתובעת זכות להחזיק בחנות ולקבל את ההכנסות המתקבלות מהעסק המנוהל בה ללא כל מגבלת זמן.</w:t>
      </w:r>
    </w:p>
    <w:p w:rsidR="00D513AA" w:rsidRPr="00FF6A87" w:rsidRDefault="00D513AA" w:rsidP="00432342">
      <w:pPr>
        <w:spacing w:after="120" w:line="360" w:lineRule="auto"/>
        <w:ind w:left="2160" w:right="567"/>
        <w:jc w:val="both"/>
        <w:rPr>
          <w:rFonts w:ascii="David" w:hAnsi="David"/>
          <w:b/>
          <w:bCs/>
          <w:rtl/>
        </w:rPr>
      </w:pPr>
      <w:r w:rsidRPr="00FF6A87">
        <w:rPr>
          <w:rFonts w:ascii="David" w:hAnsi="David"/>
          <w:b/>
          <w:bCs/>
          <w:rtl/>
        </w:rPr>
        <w:t>11.</w:t>
      </w:r>
      <w:r w:rsidRPr="00FF6A87">
        <w:rPr>
          <w:rFonts w:ascii="David" w:hAnsi="David"/>
          <w:b/>
          <w:bCs/>
          <w:rtl/>
        </w:rPr>
        <w:tab/>
      </w:r>
      <w:r w:rsidRPr="00FF6A87">
        <w:rPr>
          <w:rFonts w:ascii="David" w:hAnsi="David"/>
          <w:b/>
          <w:bCs/>
          <w:u w:val="single"/>
          <w:rtl/>
        </w:rPr>
        <w:t>התצהיר משנת 2021</w:t>
      </w:r>
    </w:p>
    <w:p w:rsidR="00D513AA" w:rsidRPr="00FF6A87" w:rsidRDefault="00D513AA" w:rsidP="00432342">
      <w:pPr>
        <w:spacing w:after="120" w:line="360" w:lineRule="auto"/>
        <w:ind w:left="2880" w:right="567" w:hanging="720"/>
        <w:jc w:val="both"/>
        <w:rPr>
          <w:rFonts w:ascii="David" w:hAnsi="David"/>
          <w:b/>
          <w:bCs/>
          <w:rtl/>
        </w:rPr>
      </w:pPr>
      <w:r w:rsidRPr="00FF6A87">
        <w:rPr>
          <w:rFonts w:ascii="David" w:hAnsi="David"/>
          <w:b/>
          <w:bCs/>
          <w:rtl/>
        </w:rPr>
        <w:t>11.1</w:t>
      </w:r>
      <w:r w:rsidRPr="00FF6A87">
        <w:rPr>
          <w:rFonts w:ascii="David" w:hAnsi="David"/>
          <w:b/>
          <w:bCs/>
          <w:rtl/>
        </w:rPr>
        <w:tab/>
        <w:t>משהודתה הנתבעת בכתב בשנת 2011, כי הנכס אותו היא צפויה לקבל מהוריה בהתאם להסכם הגירושין שייך למעשה לאמה התובעת, ולה בלבד, אין כל תוקף לתצהיר עליו חתמה בשנת 2021 במסגרתו היא מבקשת להעביר את הזכויות בנכס לאביה, הנתבע.</w:t>
      </w:r>
    </w:p>
    <w:p w:rsidR="00D513AA" w:rsidRDefault="00D513AA" w:rsidP="00432342">
      <w:pPr>
        <w:spacing w:after="120" w:line="360" w:lineRule="auto"/>
        <w:ind w:left="2880" w:right="567" w:hanging="720"/>
        <w:jc w:val="both"/>
        <w:rPr>
          <w:rFonts w:ascii="David" w:hAnsi="David"/>
          <w:b/>
          <w:bCs/>
          <w:rtl/>
        </w:rPr>
      </w:pPr>
      <w:r w:rsidRPr="00FF6A87">
        <w:rPr>
          <w:rFonts w:ascii="David" w:hAnsi="David"/>
          <w:b/>
          <w:bCs/>
          <w:rtl/>
        </w:rPr>
        <w:t>11.2</w:t>
      </w:r>
      <w:r w:rsidRPr="00FF6A87">
        <w:rPr>
          <w:rFonts w:ascii="David" w:hAnsi="David"/>
          <w:b/>
          <w:bCs/>
          <w:rtl/>
        </w:rPr>
        <w:tab/>
        <w:t>הנכס לא היה של הנתבעת – עפ"י הצהרתה – אלא של אמה, והוא אינו שלה כדי להעבירו לאביה.</w:t>
      </w:r>
    </w:p>
    <w:p w:rsidR="006D4AC5" w:rsidRDefault="00D513AA" w:rsidP="006D4AC5">
      <w:pPr>
        <w:spacing w:after="120" w:line="360" w:lineRule="auto"/>
        <w:ind w:left="2880" w:right="567"/>
        <w:jc w:val="both"/>
        <w:rPr>
          <w:rFonts w:ascii="David" w:hAnsi="David"/>
          <w:b/>
          <w:bCs/>
          <w:u w:val="single"/>
          <w:rtl/>
        </w:rPr>
      </w:pPr>
      <w:r w:rsidRPr="00FF6A87">
        <w:rPr>
          <w:rFonts w:ascii="David" w:hAnsi="David"/>
          <w:b/>
          <w:bCs/>
          <w:rtl/>
        </w:rPr>
        <w:t>לכן, התצהיר עליו חתמה הנתבעת בשנת 2021 חסר כל משמעות משפטית, שכן הנכס לא היה שייך לנתבעת והיא לא יכולה להעביר לאיש דבר שאינו שלה</w:t>
      </w:r>
      <w:r>
        <w:rPr>
          <w:rFonts w:ascii="David" w:hAnsi="David" w:hint="cs"/>
          <w:b/>
          <w:bCs/>
          <w:rtl/>
        </w:rPr>
        <w:t>"</w:t>
      </w:r>
      <w:r w:rsidRPr="00FF6A87">
        <w:rPr>
          <w:rFonts w:ascii="David" w:hAnsi="David"/>
          <w:b/>
          <w:bCs/>
          <w:rtl/>
        </w:rPr>
        <w:t>.</w:t>
      </w:r>
    </w:p>
    <w:p w:rsidR="006D4AC5" w:rsidRDefault="006D4AC5" w:rsidP="00432342">
      <w:pPr>
        <w:spacing w:after="120" w:line="360" w:lineRule="auto"/>
        <w:jc w:val="both"/>
        <w:rPr>
          <w:rFonts w:ascii="David" w:hAnsi="David"/>
          <w:b/>
          <w:bCs/>
          <w:u w:val="single"/>
          <w:rtl/>
        </w:rPr>
      </w:pPr>
    </w:p>
    <w:p w:rsidR="00D513AA" w:rsidRDefault="00D513AA" w:rsidP="00432342">
      <w:pPr>
        <w:spacing w:after="120" w:line="360" w:lineRule="auto"/>
        <w:jc w:val="both"/>
        <w:rPr>
          <w:rFonts w:ascii="David" w:hAnsi="David"/>
          <w:b/>
          <w:bCs/>
          <w:u w:val="single"/>
          <w:rtl/>
        </w:rPr>
      </w:pPr>
      <w:r w:rsidRPr="00516454">
        <w:rPr>
          <w:rFonts w:ascii="David" w:hAnsi="David" w:hint="cs"/>
          <w:b/>
          <w:bCs/>
          <w:u w:val="single"/>
          <w:rtl/>
        </w:rPr>
        <w:t>תמצית טענות המערערים בהודעת הערעור</w:t>
      </w:r>
    </w:p>
    <w:p w:rsidR="00D513AA" w:rsidRDefault="00D513AA" w:rsidP="00432342">
      <w:pPr>
        <w:spacing w:after="120" w:line="360" w:lineRule="auto"/>
        <w:ind w:left="720" w:hanging="720"/>
        <w:jc w:val="both"/>
        <w:rPr>
          <w:rFonts w:ascii="David" w:hAnsi="David"/>
          <w:rtl/>
        </w:rPr>
      </w:pPr>
      <w:r>
        <w:rPr>
          <w:rFonts w:ascii="David" w:hAnsi="David" w:hint="cs"/>
          <w:rtl/>
        </w:rPr>
        <w:t>19.</w:t>
      </w:r>
      <w:r>
        <w:rPr>
          <w:rFonts w:ascii="David" w:hAnsi="David" w:hint="cs"/>
          <w:rtl/>
        </w:rPr>
        <w:tab/>
        <w:t xml:space="preserve">בית משפט קמא התעלם מהעובדה שכל ההתחייבות של האיש אמורה להיכנס לתוקף רק עם רישום זכויותיו של האיש בחנות, שהייתה רק בשנת 2022. </w:t>
      </w:r>
    </w:p>
    <w:p w:rsidR="00D513AA" w:rsidRDefault="00D513AA" w:rsidP="00432342">
      <w:pPr>
        <w:spacing w:after="120" w:line="360" w:lineRule="auto"/>
        <w:ind w:left="720" w:hanging="720"/>
        <w:jc w:val="both"/>
        <w:rPr>
          <w:rFonts w:ascii="David" w:hAnsi="David"/>
          <w:rtl/>
        </w:rPr>
      </w:pPr>
      <w:r>
        <w:rPr>
          <w:rFonts w:ascii="David" w:hAnsi="David"/>
          <w:rtl/>
        </w:rPr>
        <w:tab/>
      </w:r>
      <w:r>
        <w:rPr>
          <w:rFonts w:ascii="David" w:hAnsi="David" w:hint="cs"/>
          <w:rtl/>
        </w:rPr>
        <w:t>על כן, ההתחייבות למסור החנות ל</w:t>
      </w:r>
      <w:r w:rsidR="00E94E05">
        <w:rPr>
          <w:rFonts w:ascii="David" w:hAnsi="David" w:hint="cs"/>
          <w:rtl/>
        </w:rPr>
        <w:t>מ</w:t>
      </w:r>
      <w:r w:rsidR="00E94E05">
        <w:rPr>
          <w:rFonts w:ascii="David" w:hAnsi="David"/>
          <w:rtl/>
        </w:rPr>
        <w:t>'</w:t>
      </w:r>
      <w:r>
        <w:rPr>
          <w:rFonts w:ascii="David" w:hAnsi="David" w:hint="cs"/>
          <w:rtl/>
        </w:rPr>
        <w:t xml:space="preserve"> ניתנת לקיום רק כשהוא בעל הזכות (היינו נרשם כבעל הזכות). עד אז היא בגדר התחייבות בעלמא. </w:t>
      </w:r>
    </w:p>
    <w:p w:rsidR="00D513AA" w:rsidRDefault="00D513AA" w:rsidP="00432342">
      <w:pPr>
        <w:spacing w:after="120" w:line="360" w:lineRule="auto"/>
        <w:ind w:left="720" w:hanging="720"/>
        <w:jc w:val="both"/>
        <w:rPr>
          <w:rFonts w:ascii="David" w:hAnsi="David"/>
          <w:rtl/>
        </w:rPr>
      </w:pPr>
      <w:r>
        <w:rPr>
          <w:rFonts w:ascii="David" w:hAnsi="David"/>
          <w:rtl/>
        </w:rPr>
        <w:lastRenderedPageBreak/>
        <w:tab/>
      </w:r>
      <w:r>
        <w:rPr>
          <w:rFonts w:ascii="David" w:hAnsi="David" w:hint="cs"/>
          <w:rtl/>
        </w:rPr>
        <w:t xml:space="preserve">בינתיים במסגרת תצהיר 2021 ויתרה </w:t>
      </w:r>
      <w:r w:rsidR="00E94E05">
        <w:rPr>
          <w:rFonts w:ascii="David" w:hAnsi="David" w:hint="cs"/>
          <w:rtl/>
        </w:rPr>
        <w:t>מ</w:t>
      </w:r>
      <w:r w:rsidR="00E94E05">
        <w:rPr>
          <w:rFonts w:ascii="David" w:hAnsi="David"/>
          <w:rtl/>
        </w:rPr>
        <w:t>'</w:t>
      </w:r>
      <w:r>
        <w:rPr>
          <w:rFonts w:ascii="David" w:hAnsi="David" w:hint="cs"/>
          <w:rtl/>
        </w:rPr>
        <w:t xml:space="preserve"> על זכותה מכוחו של החוזה לטובת צד שלישי מכוח סעיף 35 לחוק החוזים, ולכן הזכויות בחנות אמורות להיוותר בידיו. </w:t>
      </w:r>
    </w:p>
    <w:p w:rsidR="00D513AA" w:rsidRDefault="00D513AA" w:rsidP="00432342">
      <w:pPr>
        <w:spacing w:after="120" w:line="360" w:lineRule="auto"/>
        <w:ind w:left="720" w:hanging="720"/>
        <w:jc w:val="both"/>
        <w:rPr>
          <w:rFonts w:ascii="David" w:hAnsi="David"/>
          <w:rtl/>
        </w:rPr>
      </w:pPr>
      <w:r>
        <w:rPr>
          <w:rFonts w:ascii="David" w:hAnsi="David" w:hint="cs"/>
          <w:rtl/>
        </w:rPr>
        <w:t>20.</w:t>
      </w:r>
      <w:r>
        <w:rPr>
          <w:rFonts w:ascii="David" w:hAnsi="David" w:hint="cs"/>
          <w:rtl/>
        </w:rPr>
        <w:tab/>
        <w:t>פסק הדין סותר את הסכם הגירושין שקיבל תוקף של פסק דין והינו חלוט, כי החנות ניתנה ל</w:t>
      </w:r>
      <w:r w:rsidR="00E94E05">
        <w:rPr>
          <w:rFonts w:ascii="David" w:hAnsi="David" w:hint="cs"/>
          <w:rtl/>
        </w:rPr>
        <w:t>מ</w:t>
      </w:r>
      <w:r w:rsidR="00E94E05">
        <w:rPr>
          <w:rFonts w:ascii="David" w:hAnsi="David"/>
          <w:rtl/>
        </w:rPr>
        <w:t>'</w:t>
      </w:r>
      <w:r>
        <w:rPr>
          <w:rFonts w:ascii="David" w:hAnsi="David" w:hint="cs"/>
          <w:rtl/>
        </w:rPr>
        <w:t xml:space="preserve">, ולא לאישה, במסגרת הסכם לטובת צד שלישי. </w:t>
      </w:r>
    </w:p>
    <w:p w:rsidR="00D513AA" w:rsidRDefault="00D513AA" w:rsidP="00432342">
      <w:pPr>
        <w:spacing w:after="120" w:line="360" w:lineRule="auto"/>
        <w:ind w:left="720"/>
        <w:jc w:val="both"/>
        <w:rPr>
          <w:rFonts w:ascii="David" w:hAnsi="David"/>
          <w:rtl/>
        </w:rPr>
      </w:pPr>
      <w:r>
        <w:rPr>
          <w:rFonts w:ascii="David" w:hAnsi="David" w:hint="cs"/>
          <w:rtl/>
        </w:rPr>
        <w:t xml:space="preserve">כאמור במסגרת תצהיר 2021, החליטה </w:t>
      </w:r>
      <w:r w:rsidR="00E94E05">
        <w:rPr>
          <w:rFonts w:ascii="David" w:hAnsi="David" w:hint="cs"/>
          <w:rtl/>
        </w:rPr>
        <w:t>מ</w:t>
      </w:r>
      <w:r w:rsidR="00E94E05">
        <w:rPr>
          <w:rFonts w:ascii="David" w:hAnsi="David"/>
          <w:rtl/>
        </w:rPr>
        <w:t>'</w:t>
      </w:r>
      <w:r>
        <w:rPr>
          <w:rFonts w:ascii="David" w:hAnsi="David" w:hint="cs"/>
          <w:rtl/>
        </w:rPr>
        <w:t xml:space="preserve"> לותר על הזכות שקיבלה לטובת הבעלים הרשום, שהוא האיש. </w:t>
      </w:r>
    </w:p>
    <w:p w:rsidR="00D513AA" w:rsidRDefault="00D513AA" w:rsidP="00432342">
      <w:pPr>
        <w:spacing w:after="120" w:line="360" w:lineRule="auto"/>
        <w:ind w:left="720" w:hanging="720"/>
        <w:jc w:val="both"/>
        <w:rPr>
          <w:rFonts w:ascii="David" w:hAnsi="David"/>
          <w:rtl/>
        </w:rPr>
      </w:pPr>
      <w:r>
        <w:rPr>
          <w:rFonts w:ascii="David" w:hAnsi="David" w:hint="cs"/>
          <w:rtl/>
        </w:rPr>
        <w:t>21.</w:t>
      </w:r>
      <w:r>
        <w:rPr>
          <w:rFonts w:ascii="David" w:hAnsi="David" w:hint="cs"/>
          <w:rtl/>
        </w:rPr>
        <w:tab/>
        <w:t>הסכם הגירושין לא התכוון ליתן לאישה זכויות קנין בחנות, אלא רק להפעיל בחנות עסק. לכן גם חתמה האישה ביום 29.8.2011, על כתב וסילוק סופי, ממנו התעלם בית משפט קמא בפסק הדין.</w:t>
      </w:r>
    </w:p>
    <w:p w:rsidR="00D513AA" w:rsidRDefault="00D513AA" w:rsidP="00432342">
      <w:pPr>
        <w:spacing w:after="120" w:line="360" w:lineRule="auto"/>
        <w:ind w:left="720" w:hanging="720"/>
        <w:jc w:val="both"/>
        <w:rPr>
          <w:rFonts w:ascii="David" w:hAnsi="David"/>
          <w:rtl/>
        </w:rPr>
      </w:pPr>
      <w:r>
        <w:rPr>
          <w:rFonts w:ascii="David" w:hAnsi="David" w:hint="cs"/>
          <w:rtl/>
        </w:rPr>
        <w:t>22.</w:t>
      </w:r>
      <w:r>
        <w:rPr>
          <w:rFonts w:ascii="David" w:hAnsi="David" w:hint="cs"/>
          <w:rtl/>
        </w:rPr>
        <w:tab/>
        <w:t xml:space="preserve">פסק הדין מתעלם מהעובדה, שהאישה הבריחה את החנות, ככל שנלך לגרסתה כי היא בעלת הזכויות בחנות מכח הסכם הגירושין, מהליך פש"ר אליו נכנסה לאחר מכן ויצא ממנו בהפטר. </w:t>
      </w:r>
    </w:p>
    <w:p w:rsidR="00D513AA" w:rsidRDefault="00D513AA" w:rsidP="00432342">
      <w:pPr>
        <w:spacing w:after="120" w:line="360" w:lineRule="auto"/>
        <w:ind w:left="720" w:hanging="720"/>
        <w:jc w:val="both"/>
        <w:rPr>
          <w:rFonts w:ascii="David" w:hAnsi="David"/>
          <w:rtl/>
        </w:rPr>
      </w:pPr>
    </w:p>
    <w:p w:rsidR="00D513AA" w:rsidRDefault="00D513AA" w:rsidP="00432342">
      <w:pPr>
        <w:spacing w:after="120" w:line="360" w:lineRule="auto"/>
        <w:ind w:left="720" w:hanging="720"/>
        <w:jc w:val="both"/>
        <w:rPr>
          <w:rFonts w:ascii="David" w:hAnsi="David"/>
          <w:rtl/>
        </w:rPr>
      </w:pPr>
      <w:r w:rsidRPr="00516454">
        <w:rPr>
          <w:rFonts w:ascii="David" w:hAnsi="David" w:hint="cs"/>
          <w:b/>
          <w:bCs/>
          <w:u w:val="single"/>
          <w:rtl/>
        </w:rPr>
        <w:t>תמצית</w:t>
      </w:r>
      <w:r w:rsidRPr="00516454">
        <w:rPr>
          <w:rFonts w:ascii="David" w:hAnsi="David" w:hint="cs"/>
          <w:u w:val="single"/>
          <w:rtl/>
        </w:rPr>
        <w:t xml:space="preserve"> </w:t>
      </w:r>
      <w:r w:rsidRPr="00516454">
        <w:rPr>
          <w:rFonts w:ascii="David" w:hAnsi="David" w:hint="cs"/>
          <w:b/>
          <w:bCs/>
          <w:u w:val="single"/>
          <w:rtl/>
        </w:rPr>
        <w:t>טענות המשיבה בכתב תשובתה</w:t>
      </w:r>
    </w:p>
    <w:p w:rsidR="00D513AA" w:rsidRDefault="00D513AA" w:rsidP="00432342">
      <w:pPr>
        <w:spacing w:after="120" w:line="360" w:lineRule="auto"/>
        <w:ind w:left="720" w:hanging="720"/>
        <w:jc w:val="both"/>
        <w:rPr>
          <w:rFonts w:ascii="David" w:hAnsi="David"/>
          <w:rtl/>
        </w:rPr>
      </w:pPr>
      <w:r>
        <w:rPr>
          <w:rFonts w:ascii="David" w:hAnsi="David" w:hint="cs"/>
          <w:rtl/>
        </w:rPr>
        <w:t>23.</w:t>
      </w:r>
      <w:r>
        <w:rPr>
          <w:rFonts w:ascii="David" w:hAnsi="David" w:hint="cs"/>
          <w:rtl/>
        </w:rPr>
        <w:tab/>
        <w:t>פסק הדין מבוסס על ממצאי עובדה וקביעות מהימנות, של האיש, האישה ו</w:t>
      </w:r>
      <w:r w:rsidR="00E94E05">
        <w:rPr>
          <w:rFonts w:ascii="David" w:hAnsi="David" w:hint="cs"/>
          <w:rtl/>
        </w:rPr>
        <w:t>מ</w:t>
      </w:r>
      <w:r w:rsidR="00E94E05">
        <w:rPr>
          <w:rFonts w:ascii="David" w:hAnsi="David"/>
          <w:rtl/>
        </w:rPr>
        <w:t>'</w:t>
      </w:r>
      <w:r>
        <w:rPr>
          <w:rFonts w:ascii="David" w:hAnsi="David" w:hint="cs"/>
          <w:rtl/>
        </w:rPr>
        <w:t>, בהן ממעטת ערכאת הערעור להתערב.</w:t>
      </w:r>
    </w:p>
    <w:p w:rsidR="00D513AA" w:rsidRDefault="00D513AA" w:rsidP="00432342">
      <w:pPr>
        <w:spacing w:after="120" w:line="360" w:lineRule="auto"/>
        <w:ind w:left="720" w:hanging="720"/>
        <w:jc w:val="both"/>
        <w:rPr>
          <w:rFonts w:ascii="David" w:hAnsi="David"/>
          <w:rtl/>
        </w:rPr>
      </w:pPr>
      <w:r>
        <w:rPr>
          <w:rFonts w:ascii="David" w:hAnsi="David" w:hint="cs"/>
          <w:rtl/>
        </w:rPr>
        <w:t>24.</w:t>
      </w:r>
      <w:r>
        <w:rPr>
          <w:rFonts w:ascii="David" w:hAnsi="David" w:hint="cs"/>
          <w:rtl/>
        </w:rPr>
        <w:tab/>
        <w:t>עסקינן בקנוניה בין האיש ל</w:t>
      </w:r>
      <w:r w:rsidR="00E94E05">
        <w:rPr>
          <w:rFonts w:ascii="David" w:hAnsi="David" w:hint="cs"/>
          <w:rtl/>
        </w:rPr>
        <w:t>מ</w:t>
      </w:r>
      <w:r w:rsidR="00E94E05">
        <w:rPr>
          <w:rFonts w:ascii="David" w:hAnsi="David"/>
          <w:rtl/>
        </w:rPr>
        <w:t>'</w:t>
      </w:r>
      <w:r>
        <w:rPr>
          <w:rFonts w:ascii="David" w:hAnsi="David" w:hint="cs"/>
          <w:rtl/>
        </w:rPr>
        <w:t xml:space="preserve">, להוציא מידי האישה את החנות, אותה קיבלה אגב גירושין, ובמסגרת הסכם הגירושין. </w:t>
      </w:r>
    </w:p>
    <w:p w:rsidR="00D513AA" w:rsidRDefault="00D513AA" w:rsidP="00432342">
      <w:pPr>
        <w:spacing w:after="120" w:line="360" w:lineRule="auto"/>
        <w:ind w:left="720" w:hanging="720"/>
        <w:jc w:val="both"/>
        <w:rPr>
          <w:rFonts w:ascii="David" w:hAnsi="David"/>
          <w:rtl/>
        </w:rPr>
      </w:pPr>
      <w:r>
        <w:rPr>
          <w:rFonts w:ascii="David" w:hAnsi="David" w:hint="cs"/>
          <w:rtl/>
        </w:rPr>
        <w:t>25.</w:t>
      </w:r>
      <w:r>
        <w:rPr>
          <w:rFonts w:ascii="David" w:hAnsi="David" w:hint="cs"/>
          <w:rtl/>
        </w:rPr>
        <w:tab/>
        <w:t>לא נפלה טעות בפסק הדין עת נתן תוקף לתצהיר 2011 ולנאמנות המוכחת בו, לטובת האישה.</w:t>
      </w:r>
    </w:p>
    <w:p w:rsidR="00D513AA" w:rsidRDefault="00D513AA" w:rsidP="00432342">
      <w:pPr>
        <w:spacing w:after="120" w:line="360" w:lineRule="auto"/>
        <w:ind w:left="720" w:hanging="720"/>
        <w:jc w:val="both"/>
        <w:rPr>
          <w:rFonts w:ascii="David" w:hAnsi="David"/>
          <w:rtl/>
        </w:rPr>
      </w:pPr>
      <w:r>
        <w:rPr>
          <w:rFonts w:ascii="David" w:hAnsi="David" w:hint="cs"/>
          <w:rtl/>
        </w:rPr>
        <w:t>26.</w:t>
      </w:r>
      <w:r>
        <w:rPr>
          <w:rFonts w:ascii="David" w:hAnsi="David" w:hint="cs"/>
          <w:rtl/>
        </w:rPr>
        <w:tab/>
        <w:t xml:space="preserve">במסגרת תצהיר 2021 הפרה </w:t>
      </w:r>
      <w:r w:rsidR="00E94E05">
        <w:rPr>
          <w:rFonts w:ascii="David" w:hAnsi="David" w:hint="cs"/>
          <w:rtl/>
        </w:rPr>
        <w:t>מ</w:t>
      </w:r>
      <w:r w:rsidR="00E94E05">
        <w:rPr>
          <w:rFonts w:ascii="David" w:hAnsi="David"/>
          <w:rtl/>
        </w:rPr>
        <w:t>'</w:t>
      </w:r>
      <w:r>
        <w:rPr>
          <w:rFonts w:ascii="David" w:hAnsi="David" w:hint="cs"/>
          <w:rtl/>
        </w:rPr>
        <w:t xml:space="preserve"> את הנאמנות כלפי אימה. </w:t>
      </w:r>
    </w:p>
    <w:p w:rsidR="00D513AA" w:rsidRDefault="00D513AA" w:rsidP="00432342">
      <w:pPr>
        <w:spacing w:after="120" w:line="360" w:lineRule="auto"/>
        <w:ind w:left="720" w:hanging="720"/>
        <w:jc w:val="both"/>
        <w:rPr>
          <w:rFonts w:ascii="David" w:hAnsi="David"/>
          <w:rtl/>
        </w:rPr>
      </w:pPr>
      <w:r>
        <w:rPr>
          <w:rFonts w:ascii="David" w:hAnsi="David" w:hint="cs"/>
          <w:rtl/>
        </w:rPr>
        <w:t>27.</w:t>
      </w:r>
      <w:r>
        <w:rPr>
          <w:rFonts w:ascii="David" w:hAnsi="David" w:hint="cs"/>
          <w:rtl/>
        </w:rPr>
        <w:tab/>
        <w:t xml:space="preserve">במסגרת תצהיר 2021 מנסה האיש לעקוף את הסכם הגירושין ותצהיר 2011, המלמדים כי הזכויות בחנות נתונה לאישה. </w:t>
      </w:r>
    </w:p>
    <w:p w:rsidR="006D4AC5" w:rsidRDefault="00D513AA" w:rsidP="006D4AC5">
      <w:pPr>
        <w:spacing w:after="120" w:line="360" w:lineRule="auto"/>
        <w:ind w:left="720" w:hanging="720"/>
        <w:jc w:val="both"/>
        <w:rPr>
          <w:rFonts w:ascii="David" w:hAnsi="David"/>
          <w:b/>
          <w:bCs/>
          <w:u w:val="single"/>
          <w:rtl/>
        </w:rPr>
      </w:pPr>
      <w:r>
        <w:rPr>
          <w:rFonts w:ascii="David" w:hAnsi="David" w:hint="cs"/>
          <w:rtl/>
        </w:rPr>
        <w:lastRenderedPageBreak/>
        <w:t>28.</w:t>
      </w:r>
      <w:r>
        <w:rPr>
          <w:rFonts w:ascii="David" w:hAnsi="David" w:hint="cs"/>
          <w:rtl/>
        </w:rPr>
        <w:tab/>
        <w:t xml:space="preserve">באשר להסכמי השכירות </w:t>
      </w:r>
      <w:r>
        <w:rPr>
          <w:rFonts w:ascii="David" w:hAnsi="David"/>
          <w:rtl/>
        </w:rPr>
        <w:t>–</w:t>
      </w:r>
      <w:r>
        <w:rPr>
          <w:rFonts w:ascii="David" w:hAnsi="David" w:hint="cs"/>
          <w:rtl/>
        </w:rPr>
        <w:t xml:space="preserve"> אלה נועדו למטרה אחת, לכבול את המערערת לתשלומי הארנונה של החנות, הא ותו לא. בראיה </w:t>
      </w:r>
      <w:r>
        <w:rPr>
          <w:rFonts w:ascii="David" w:hAnsi="David"/>
          <w:rtl/>
        </w:rPr>
        <w:t>–</w:t>
      </w:r>
      <w:r>
        <w:rPr>
          <w:rFonts w:ascii="David" w:hAnsi="David" w:hint="cs"/>
          <w:rtl/>
        </w:rPr>
        <w:t xml:space="preserve"> במסגרתם לא חויבה האישה בתשלומי דמי שכירות לאיש ו/או ל</w:t>
      </w:r>
      <w:r w:rsidR="00E94E05">
        <w:rPr>
          <w:rFonts w:ascii="David" w:hAnsi="David" w:hint="cs"/>
          <w:rtl/>
        </w:rPr>
        <w:t>מ</w:t>
      </w:r>
      <w:r w:rsidR="00E94E05">
        <w:rPr>
          <w:rFonts w:ascii="David" w:hAnsi="David"/>
          <w:rtl/>
        </w:rPr>
        <w:t>'</w:t>
      </w:r>
      <w:r>
        <w:rPr>
          <w:rFonts w:ascii="David" w:hAnsi="David" w:hint="cs"/>
          <w:rtl/>
        </w:rPr>
        <w:t xml:space="preserve">. </w:t>
      </w:r>
    </w:p>
    <w:p w:rsidR="006D4AC5" w:rsidRDefault="006D4AC5" w:rsidP="00432342">
      <w:pPr>
        <w:spacing w:after="120" w:line="360" w:lineRule="auto"/>
        <w:ind w:left="720" w:hanging="720"/>
        <w:jc w:val="both"/>
        <w:rPr>
          <w:rFonts w:ascii="David" w:hAnsi="David"/>
          <w:b/>
          <w:bCs/>
          <w:u w:val="single"/>
          <w:rtl/>
        </w:rPr>
      </w:pPr>
    </w:p>
    <w:p w:rsidR="00D513AA" w:rsidRDefault="00D513AA" w:rsidP="00432342">
      <w:pPr>
        <w:spacing w:after="120" w:line="360" w:lineRule="auto"/>
        <w:ind w:left="720" w:hanging="720"/>
        <w:jc w:val="both"/>
        <w:rPr>
          <w:rFonts w:ascii="David" w:hAnsi="David"/>
          <w:b/>
          <w:bCs/>
          <w:u w:val="single"/>
          <w:rtl/>
        </w:rPr>
      </w:pPr>
      <w:r w:rsidRPr="00516454">
        <w:rPr>
          <w:rFonts w:ascii="David" w:hAnsi="David" w:hint="cs"/>
          <w:b/>
          <w:bCs/>
          <w:u w:val="single"/>
          <w:rtl/>
        </w:rPr>
        <w:t>דיון והכרעה</w:t>
      </w:r>
    </w:p>
    <w:p w:rsidR="00D513AA" w:rsidRDefault="00D513AA" w:rsidP="00432342">
      <w:pPr>
        <w:spacing w:after="120" w:line="360" w:lineRule="auto"/>
        <w:ind w:left="720" w:hanging="720"/>
        <w:jc w:val="both"/>
        <w:rPr>
          <w:rFonts w:ascii="David" w:hAnsi="David"/>
          <w:rtl/>
        </w:rPr>
      </w:pPr>
      <w:r>
        <w:rPr>
          <w:rFonts w:ascii="David" w:hAnsi="David" w:hint="cs"/>
          <w:rtl/>
        </w:rPr>
        <w:t>29.</w:t>
      </w:r>
      <w:r>
        <w:rPr>
          <w:rFonts w:ascii="David" w:hAnsi="David" w:hint="cs"/>
          <w:rtl/>
        </w:rPr>
        <w:tab/>
      </w:r>
      <w:r w:rsidRPr="00E526FC">
        <w:rPr>
          <w:rFonts w:ascii="David" w:hAnsi="David" w:hint="cs"/>
          <w:b/>
          <w:bCs/>
          <w:rtl/>
        </w:rPr>
        <w:t>דין הערעור להידחות, מטעמי פסק הדין קמא, המבוססים על קביעות עובדה ומהימנות, בהן ממעטת ערכאת הערעור להתערב</w:t>
      </w:r>
      <w:r>
        <w:rPr>
          <w:rFonts w:ascii="David" w:hAnsi="David" w:hint="cs"/>
          <w:rtl/>
        </w:rPr>
        <w:t>.</w:t>
      </w:r>
    </w:p>
    <w:p w:rsidR="00D513AA" w:rsidRDefault="00D513AA" w:rsidP="00432342">
      <w:pPr>
        <w:spacing w:after="120" w:line="360" w:lineRule="auto"/>
        <w:ind w:left="720" w:hanging="720"/>
        <w:jc w:val="both"/>
        <w:rPr>
          <w:rFonts w:ascii="David" w:hAnsi="David"/>
          <w:rtl/>
        </w:rPr>
      </w:pPr>
      <w:r>
        <w:rPr>
          <w:rFonts w:ascii="David" w:hAnsi="David" w:hint="cs"/>
          <w:rtl/>
        </w:rPr>
        <w:t xml:space="preserve">30. </w:t>
      </w:r>
      <w:r>
        <w:rPr>
          <w:rFonts w:ascii="David" w:hAnsi="David" w:hint="cs"/>
          <w:rtl/>
        </w:rPr>
        <w:tab/>
        <w:t xml:space="preserve">נחזק את מסקנות בית משפט קמא בפסק הדין, בדברים שנציין להלן, בפסק דין זה. </w:t>
      </w:r>
    </w:p>
    <w:p w:rsidR="00D513AA" w:rsidRDefault="00D513AA" w:rsidP="00432342">
      <w:pPr>
        <w:spacing w:after="120" w:line="360" w:lineRule="auto"/>
        <w:ind w:left="720" w:hanging="720"/>
        <w:jc w:val="both"/>
        <w:rPr>
          <w:rFonts w:ascii="David" w:hAnsi="David"/>
          <w:rtl/>
        </w:rPr>
      </w:pPr>
      <w:r>
        <w:rPr>
          <w:rFonts w:ascii="David" w:hAnsi="David" w:hint="cs"/>
          <w:rtl/>
        </w:rPr>
        <w:t>31.</w:t>
      </w:r>
      <w:r>
        <w:rPr>
          <w:rFonts w:ascii="David" w:hAnsi="David" w:hint="cs"/>
          <w:rtl/>
        </w:rPr>
        <w:tab/>
      </w:r>
      <w:r w:rsidRPr="00BC12C0">
        <w:rPr>
          <w:rFonts w:ascii="David" w:hAnsi="David" w:hint="cs"/>
          <w:u w:val="single"/>
          <w:rtl/>
        </w:rPr>
        <w:t>עיון בעדותו של האיש מלמד כדלקמן:</w:t>
      </w:r>
    </w:p>
    <w:p w:rsidR="00D513AA" w:rsidRDefault="00D513AA" w:rsidP="00432342">
      <w:pPr>
        <w:spacing w:after="120" w:line="360" w:lineRule="auto"/>
        <w:ind w:left="1440" w:hanging="720"/>
        <w:jc w:val="both"/>
        <w:rPr>
          <w:rFonts w:ascii="David" w:hAnsi="David"/>
          <w:rtl/>
        </w:rPr>
      </w:pPr>
      <w:r>
        <w:rPr>
          <w:rFonts w:ascii="David" w:hAnsi="David" w:hint="cs"/>
          <w:rtl/>
        </w:rPr>
        <w:t>א.</w:t>
      </w:r>
      <w:r>
        <w:rPr>
          <w:rFonts w:ascii="David" w:hAnsi="David" w:hint="cs"/>
          <w:rtl/>
        </w:rPr>
        <w:tab/>
        <w:t>החנות נרכשה במהלך החיים המשותפים (ע' 63 לפרו' שו' 15-19);</w:t>
      </w:r>
    </w:p>
    <w:p w:rsidR="00D513AA" w:rsidRPr="00BC12C0" w:rsidRDefault="00D513AA" w:rsidP="00432342">
      <w:pPr>
        <w:spacing w:after="120" w:line="360" w:lineRule="auto"/>
        <w:ind w:left="1440"/>
        <w:jc w:val="both"/>
        <w:rPr>
          <w:rFonts w:ascii="David" w:hAnsi="David"/>
          <w:b/>
          <w:bCs/>
          <w:rtl/>
        </w:rPr>
      </w:pPr>
      <w:r>
        <w:rPr>
          <w:rFonts w:ascii="David" w:hAnsi="David" w:hint="cs"/>
          <w:b/>
          <w:bCs/>
          <w:rtl/>
        </w:rPr>
        <w:t>מכאן לכאורה ומכוח סעיף 5(א) לחוק יחסי ממון בין בני זוג, תשל"ג-1973 החל על יחסי הצדדים (נישאו לאחר שנת 1974), זכאית האישה למחצית מהזכויות בחנות.</w:t>
      </w:r>
    </w:p>
    <w:p w:rsidR="00D513AA" w:rsidRDefault="00D513AA" w:rsidP="00432342">
      <w:pPr>
        <w:spacing w:after="120" w:line="360" w:lineRule="auto"/>
        <w:ind w:left="1440" w:hanging="720"/>
        <w:jc w:val="both"/>
        <w:rPr>
          <w:rFonts w:ascii="David" w:hAnsi="David"/>
          <w:rtl/>
        </w:rPr>
      </w:pPr>
      <w:r>
        <w:rPr>
          <w:rFonts w:ascii="David" w:hAnsi="David" w:hint="cs"/>
          <w:rtl/>
        </w:rPr>
        <w:t>ב.</w:t>
      </w:r>
      <w:r>
        <w:rPr>
          <w:rFonts w:ascii="David" w:hAnsi="David" w:hint="cs"/>
          <w:rtl/>
        </w:rPr>
        <w:tab/>
        <w:t xml:space="preserve">האיש "מודה" כי במסגרת הסכם הגירושין האישה לא קיבלה כל נכס מנכסיהם המשותפים, כיוון שהוא נטל על עצמו את מרבית החובות המשותפים (עמ' 62-63 לפרו'). </w:t>
      </w:r>
    </w:p>
    <w:p w:rsidR="00D513AA" w:rsidRDefault="00D513AA" w:rsidP="00432342">
      <w:pPr>
        <w:spacing w:after="120" w:line="360" w:lineRule="auto"/>
        <w:ind w:left="720" w:hanging="720"/>
        <w:jc w:val="both"/>
        <w:rPr>
          <w:rFonts w:ascii="David" w:hAnsi="David"/>
          <w:rtl/>
        </w:rPr>
      </w:pPr>
      <w:r>
        <w:rPr>
          <w:rFonts w:ascii="David" w:hAnsi="David" w:hint="cs"/>
          <w:rtl/>
        </w:rPr>
        <w:t>32.</w:t>
      </w:r>
      <w:r>
        <w:rPr>
          <w:rFonts w:ascii="David" w:hAnsi="David" w:hint="cs"/>
          <w:rtl/>
        </w:rPr>
        <w:tab/>
      </w:r>
      <w:r>
        <w:rPr>
          <w:rFonts w:ascii="David" w:hAnsi="David" w:hint="cs"/>
          <w:b/>
          <w:bCs/>
          <w:rtl/>
        </w:rPr>
        <w:t xml:space="preserve">דא עקא </w:t>
      </w:r>
      <w:r>
        <w:rPr>
          <w:rFonts w:ascii="David" w:hAnsi="David"/>
          <w:b/>
          <w:bCs/>
          <w:rtl/>
        </w:rPr>
        <w:t>–</w:t>
      </w:r>
      <w:r>
        <w:rPr>
          <w:rFonts w:ascii="David" w:hAnsi="David" w:hint="cs"/>
          <w:b/>
          <w:bCs/>
          <w:rtl/>
        </w:rPr>
        <w:t xml:space="preserve"> האיש לא הוכיח מה היה גובה החובות המשותפים, מה היה חלקו בהם וכי שילמם בפועל מכספים פרטיים שלו, להבדיל מכספים משותפים </w:t>
      </w:r>
      <w:r>
        <w:rPr>
          <w:rFonts w:ascii="David" w:hAnsi="David" w:hint="cs"/>
          <w:rtl/>
        </w:rPr>
        <w:t xml:space="preserve">(עמדה על כך גם השופטת קמא בפסק הדין </w:t>
      </w:r>
      <w:r>
        <w:rPr>
          <w:rFonts w:ascii="David" w:hAnsi="David"/>
          <w:rtl/>
        </w:rPr>
        <w:t>–</w:t>
      </w:r>
      <w:r>
        <w:rPr>
          <w:rFonts w:ascii="David" w:hAnsi="David" w:hint="cs"/>
          <w:rtl/>
        </w:rPr>
        <w:t xml:space="preserve"> ראו סעיף 17(ח) לעיל). </w:t>
      </w:r>
    </w:p>
    <w:p w:rsidR="00D513AA" w:rsidRDefault="00D513AA" w:rsidP="00432342">
      <w:pPr>
        <w:spacing w:after="120" w:line="360" w:lineRule="auto"/>
        <w:ind w:left="720" w:hanging="720"/>
        <w:jc w:val="both"/>
        <w:rPr>
          <w:rFonts w:ascii="David" w:hAnsi="David"/>
          <w:rtl/>
        </w:rPr>
      </w:pPr>
      <w:r>
        <w:rPr>
          <w:rFonts w:ascii="David" w:hAnsi="David" w:hint="cs"/>
          <w:rtl/>
        </w:rPr>
        <w:t>33.</w:t>
      </w:r>
      <w:r>
        <w:rPr>
          <w:rFonts w:ascii="David" w:hAnsi="David" w:hint="cs"/>
          <w:rtl/>
        </w:rPr>
        <w:tab/>
      </w:r>
      <w:r>
        <w:rPr>
          <w:rFonts w:ascii="David" w:hAnsi="David" w:hint="cs"/>
          <w:b/>
          <w:bCs/>
          <w:rtl/>
        </w:rPr>
        <w:t xml:space="preserve">מעבר לכך </w:t>
      </w:r>
      <w:r>
        <w:rPr>
          <w:rFonts w:ascii="David" w:hAnsi="David"/>
          <w:b/>
          <w:bCs/>
          <w:rtl/>
        </w:rPr>
        <w:t>–</w:t>
      </w:r>
      <w:r>
        <w:rPr>
          <w:rFonts w:ascii="David" w:hAnsi="David" w:hint="cs"/>
          <w:b/>
          <w:bCs/>
          <w:rtl/>
        </w:rPr>
        <w:t xml:space="preserve"> הדבר לא נרשם כלל בהסכם הגירושין, למרות שהיה מצופה כי כך יהיה, בשלילת זכותה של האישה מכוח הדין, לכל נכס מהנכסים המשותפים. </w:t>
      </w:r>
    </w:p>
    <w:p w:rsidR="00D513AA" w:rsidRDefault="00D513AA" w:rsidP="00432342">
      <w:pPr>
        <w:spacing w:after="120" w:line="360" w:lineRule="auto"/>
        <w:ind w:left="720"/>
        <w:jc w:val="both"/>
        <w:rPr>
          <w:rFonts w:ascii="David" w:hAnsi="David"/>
          <w:rtl/>
        </w:rPr>
      </w:pPr>
      <w:r>
        <w:rPr>
          <w:rFonts w:ascii="David" w:hAnsi="David" w:hint="cs"/>
          <w:rtl/>
        </w:rPr>
        <w:lastRenderedPageBreak/>
        <w:t xml:space="preserve">עיון בהסכם הגירושין מלמד דווקא ההיפך (ראו סעיף 8 לעיל). </w:t>
      </w:r>
    </w:p>
    <w:p w:rsidR="00D513AA" w:rsidRDefault="00D513AA" w:rsidP="00642B16">
      <w:pPr>
        <w:spacing w:after="120" w:line="360" w:lineRule="auto"/>
        <w:ind w:left="720"/>
        <w:jc w:val="both"/>
        <w:rPr>
          <w:rFonts w:ascii="David" w:hAnsi="David"/>
          <w:b/>
          <w:bCs/>
          <w:rtl/>
        </w:rPr>
      </w:pPr>
      <w:r>
        <w:rPr>
          <w:rFonts w:ascii="David" w:hAnsi="David" w:hint="cs"/>
          <w:rtl/>
        </w:rPr>
        <w:t xml:space="preserve">בסעיף 10 </w:t>
      </w:r>
      <w:r>
        <w:rPr>
          <w:rFonts w:ascii="David" w:hAnsi="David"/>
          <w:rtl/>
        </w:rPr>
        <w:t>–</w:t>
      </w:r>
      <w:r>
        <w:rPr>
          <w:rFonts w:ascii="David" w:hAnsi="David" w:hint="cs"/>
          <w:rtl/>
        </w:rPr>
        <w:t xml:space="preserve"> נרשם כי האישה מוותרת על חלקה לטובת האיש בנכס משותף שיש לבני הזוג ברחוב </w:t>
      </w:r>
      <w:r w:rsidR="00642B16">
        <w:rPr>
          <w:rFonts w:ascii="David" w:hAnsi="David" w:hint="cs"/>
          <w:rtl/>
        </w:rPr>
        <w:t>... בעיר ...</w:t>
      </w:r>
      <w:r>
        <w:rPr>
          <w:rFonts w:ascii="David" w:hAnsi="David" w:hint="cs"/>
          <w:rtl/>
        </w:rPr>
        <w:t xml:space="preserve">. </w:t>
      </w:r>
      <w:r>
        <w:rPr>
          <w:rFonts w:ascii="David" w:hAnsi="David" w:hint="cs"/>
          <w:b/>
          <w:bCs/>
          <w:rtl/>
        </w:rPr>
        <w:t xml:space="preserve">מכאן שניתן לצפות כי יהיה איזון לוויתור זה של האישה, בנכס משותף אחר של בני הזוג. </w:t>
      </w:r>
    </w:p>
    <w:p w:rsidR="00D513AA" w:rsidRDefault="00D513AA" w:rsidP="00432342">
      <w:pPr>
        <w:spacing w:after="120" w:line="360" w:lineRule="auto"/>
        <w:ind w:left="720"/>
        <w:jc w:val="both"/>
        <w:rPr>
          <w:rFonts w:ascii="David" w:hAnsi="David"/>
          <w:b/>
          <w:bCs/>
          <w:rtl/>
        </w:rPr>
      </w:pPr>
      <w:r>
        <w:rPr>
          <w:rFonts w:ascii="David" w:hAnsi="David" w:hint="cs"/>
          <w:b/>
          <w:bCs/>
          <w:rtl/>
        </w:rPr>
        <w:t xml:space="preserve">בסעיף 11 להסכם הגירושין הגיע האיזון המצופה. </w:t>
      </w:r>
    </w:p>
    <w:p w:rsidR="00D513AA" w:rsidRDefault="00D513AA" w:rsidP="00432342">
      <w:pPr>
        <w:spacing w:after="120" w:line="360" w:lineRule="auto"/>
        <w:ind w:left="720"/>
        <w:jc w:val="both"/>
        <w:rPr>
          <w:rFonts w:ascii="David" w:hAnsi="David"/>
          <w:b/>
          <w:bCs/>
          <w:rtl/>
        </w:rPr>
      </w:pPr>
      <w:r>
        <w:rPr>
          <w:rFonts w:ascii="David" w:hAnsi="David" w:hint="cs"/>
          <w:b/>
          <w:bCs/>
          <w:rtl/>
        </w:rPr>
        <w:t>הכיצד?</w:t>
      </w:r>
    </w:p>
    <w:p w:rsidR="00D513AA" w:rsidRDefault="00D513AA" w:rsidP="00432342">
      <w:pPr>
        <w:spacing w:after="120" w:line="360" w:lineRule="auto"/>
        <w:ind w:left="720"/>
        <w:jc w:val="both"/>
        <w:rPr>
          <w:rFonts w:ascii="David" w:hAnsi="David"/>
          <w:rtl/>
        </w:rPr>
      </w:pPr>
      <w:r w:rsidRPr="00BC12C0">
        <w:rPr>
          <w:rFonts w:ascii="David" w:hAnsi="David" w:hint="cs"/>
          <w:u w:val="single"/>
          <w:rtl/>
        </w:rPr>
        <w:t>נחזור ונצטט את סעיף 11 תוך מתן הדגשים לקטע  הרלוונטי</w:t>
      </w:r>
      <w:r>
        <w:rPr>
          <w:rFonts w:ascii="David" w:hAnsi="David" w:hint="cs"/>
          <w:rtl/>
        </w:rPr>
        <w:t xml:space="preserve">: </w:t>
      </w:r>
    </w:p>
    <w:p w:rsidR="00D513AA" w:rsidRDefault="00D513AA" w:rsidP="00642B16">
      <w:pPr>
        <w:spacing w:after="120" w:line="360" w:lineRule="auto"/>
        <w:ind w:left="1440"/>
        <w:jc w:val="both"/>
        <w:rPr>
          <w:rFonts w:ascii="David" w:hAnsi="David"/>
          <w:b/>
          <w:bCs/>
          <w:rtl/>
        </w:rPr>
      </w:pPr>
      <w:r w:rsidRPr="00D94E81">
        <w:rPr>
          <w:rFonts w:ascii="David" w:hAnsi="David"/>
          <w:b/>
          <w:bCs/>
          <w:rtl/>
        </w:rPr>
        <w:t xml:space="preserve">"החנות ברח' </w:t>
      </w:r>
      <w:r w:rsidR="00642B16">
        <w:rPr>
          <w:rFonts w:ascii="David" w:hAnsi="David" w:hint="cs"/>
          <w:b/>
          <w:bCs/>
          <w:rtl/>
        </w:rPr>
        <w:t>...</w:t>
      </w:r>
      <w:r w:rsidRPr="00D94E81">
        <w:rPr>
          <w:rFonts w:ascii="David" w:hAnsi="David"/>
          <w:b/>
          <w:bCs/>
          <w:rtl/>
        </w:rPr>
        <w:t xml:space="preserve"> והרשומה על שם הבעל תועבר ע"פ </w:t>
      </w:r>
      <w:r w:rsidRPr="00D94E81">
        <w:rPr>
          <w:rFonts w:ascii="David" w:hAnsi="David"/>
          <w:b/>
          <w:bCs/>
          <w:u w:val="single"/>
          <w:rtl/>
        </w:rPr>
        <w:t>בקשת האישה</w:t>
      </w:r>
      <w:r>
        <w:rPr>
          <w:rFonts w:ascii="David" w:hAnsi="David" w:hint="cs"/>
          <w:b/>
          <w:bCs/>
          <w:rtl/>
        </w:rPr>
        <w:t xml:space="preserve"> </w:t>
      </w:r>
      <w:r>
        <w:rPr>
          <w:rFonts w:ascii="David" w:hAnsi="David" w:hint="cs"/>
          <w:rtl/>
        </w:rPr>
        <w:t xml:space="preserve">(ההדגשה שלי </w:t>
      </w:r>
      <w:r>
        <w:rPr>
          <w:rFonts w:ascii="David" w:hAnsi="David"/>
          <w:rtl/>
        </w:rPr>
        <w:t>–</w:t>
      </w:r>
      <w:r>
        <w:rPr>
          <w:rFonts w:ascii="David" w:hAnsi="David" w:hint="cs"/>
          <w:rtl/>
        </w:rPr>
        <w:t xml:space="preserve"> ח"ש)</w:t>
      </w:r>
      <w:r w:rsidR="00642B16">
        <w:rPr>
          <w:rFonts w:ascii="David" w:hAnsi="David"/>
          <w:b/>
          <w:bCs/>
          <w:rtl/>
        </w:rPr>
        <w:t xml:space="preserve"> לשם הבת מ</w:t>
      </w:r>
      <w:r w:rsidR="00642B16">
        <w:rPr>
          <w:rFonts w:ascii="David" w:hAnsi="David" w:hint="cs"/>
          <w:b/>
          <w:bCs/>
          <w:rtl/>
        </w:rPr>
        <w:t>'</w:t>
      </w:r>
      <w:r w:rsidRPr="00D94E81">
        <w:rPr>
          <w:rFonts w:ascii="David" w:hAnsi="David"/>
          <w:b/>
          <w:bCs/>
          <w:rtl/>
        </w:rPr>
        <w:t xml:space="preserve"> ותהיה בבעלותה הייחודית, הבעל מתחייב לחתום על כל המסמכים הדרושים</w:t>
      </w:r>
      <w:r w:rsidR="00642B16">
        <w:rPr>
          <w:rFonts w:ascii="David" w:hAnsi="David"/>
          <w:b/>
          <w:bCs/>
          <w:rtl/>
        </w:rPr>
        <w:t xml:space="preserve"> לצורך ביצוע ההעברה לשם הבת מ</w:t>
      </w:r>
      <w:r w:rsidR="00642B16">
        <w:rPr>
          <w:rFonts w:ascii="David" w:hAnsi="David" w:hint="cs"/>
          <w:b/>
          <w:bCs/>
          <w:rtl/>
        </w:rPr>
        <w:t xml:space="preserve">' </w:t>
      </w:r>
      <w:r w:rsidRPr="00D94E81">
        <w:rPr>
          <w:rFonts w:ascii="David" w:hAnsi="David"/>
          <w:b/>
          <w:bCs/>
          <w:rtl/>
        </w:rPr>
        <w:t>".</w:t>
      </w:r>
    </w:p>
    <w:p w:rsidR="00D513AA" w:rsidRDefault="00D513AA" w:rsidP="00432342">
      <w:pPr>
        <w:spacing w:after="120" w:line="360" w:lineRule="auto"/>
        <w:ind w:left="720"/>
        <w:jc w:val="both"/>
        <w:rPr>
          <w:rFonts w:ascii="David" w:hAnsi="David"/>
          <w:rtl/>
        </w:rPr>
      </w:pPr>
      <w:r>
        <w:rPr>
          <w:rFonts w:ascii="David" w:hAnsi="David" w:hint="cs"/>
          <w:rtl/>
        </w:rPr>
        <w:t xml:space="preserve">ודוק </w:t>
      </w:r>
      <w:r>
        <w:rPr>
          <w:rFonts w:ascii="David" w:hAnsi="David"/>
          <w:rtl/>
        </w:rPr>
        <w:t>–</w:t>
      </w:r>
      <w:r>
        <w:rPr>
          <w:rFonts w:ascii="David" w:hAnsi="David" w:hint="cs"/>
          <w:rtl/>
        </w:rPr>
        <w:t xml:space="preserve"> הרישום על שם הבת </w:t>
      </w:r>
      <w:r w:rsidR="00E94E05">
        <w:rPr>
          <w:rFonts w:ascii="David" w:hAnsi="David" w:hint="cs"/>
          <w:rtl/>
        </w:rPr>
        <w:t>מ</w:t>
      </w:r>
      <w:r w:rsidR="00E94E05">
        <w:rPr>
          <w:rFonts w:ascii="David" w:hAnsi="David"/>
          <w:rtl/>
        </w:rPr>
        <w:t>'</w:t>
      </w:r>
      <w:r>
        <w:rPr>
          <w:rFonts w:ascii="David" w:hAnsi="David" w:hint="cs"/>
          <w:rtl/>
        </w:rPr>
        <w:t xml:space="preserve"> נעשה </w:t>
      </w:r>
      <w:r>
        <w:rPr>
          <w:rFonts w:ascii="David" w:hAnsi="David" w:hint="cs"/>
          <w:b/>
          <w:bCs/>
          <w:rtl/>
        </w:rPr>
        <w:t>"לבקשת האישה"</w:t>
      </w:r>
      <w:r>
        <w:rPr>
          <w:rFonts w:ascii="David" w:hAnsi="David" w:hint="cs"/>
          <w:rtl/>
        </w:rPr>
        <w:t xml:space="preserve">. היינו לגבי חנות זאת דעתה של האישה היא הקובעת. זה סממן של בעלות. </w:t>
      </w:r>
    </w:p>
    <w:p w:rsidR="00D513AA" w:rsidRDefault="00D513AA" w:rsidP="00432342">
      <w:pPr>
        <w:spacing w:after="120" w:line="360" w:lineRule="auto"/>
        <w:ind w:left="720"/>
        <w:jc w:val="both"/>
        <w:rPr>
          <w:rFonts w:ascii="David" w:hAnsi="David"/>
          <w:rtl/>
        </w:rPr>
      </w:pPr>
      <w:r>
        <w:rPr>
          <w:rFonts w:ascii="David" w:hAnsi="David" w:hint="cs"/>
          <w:rtl/>
        </w:rPr>
        <w:t xml:space="preserve">לשון אחרת </w:t>
      </w:r>
      <w:r>
        <w:rPr>
          <w:rFonts w:ascii="David" w:hAnsi="David"/>
          <w:rtl/>
        </w:rPr>
        <w:t>–</w:t>
      </w:r>
      <w:r>
        <w:rPr>
          <w:rFonts w:ascii="David" w:hAnsi="David" w:hint="cs"/>
          <w:rtl/>
        </w:rPr>
        <w:t xml:space="preserve"> אלמלא בקשתה של </w:t>
      </w:r>
      <w:r w:rsidRPr="00FD3729">
        <w:rPr>
          <w:rFonts w:ascii="David" w:hAnsi="David" w:hint="cs"/>
          <w:rtl/>
        </w:rPr>
        <w:t>האישה, סביר כי החנות</w:t>
      </w:r>
      <w:r>
        <w:rPr>
          <w:rFonts w:ascii="David" w:hAnsi="David" w:hint="cs"/>
          <w:rtl/>
        </w:rPr>
        <w:t xml:space="preserve"> לא הייתה מועברת ל</w:t>
      </w:r>
      <w:r w:rsidR="00E94E05">
        <w:rPr>
          <w:rFonts w:ascii="David" w:hAnsi="David" w:hint="cs"/>
          <w:rtl/>
        </w:rPr>
        <w:t>מ</w:t>
      </w:r>
      <w:r w:rsidR="00E94E05">
        <w:rPr>
          <w:rFonts w:ascii="David" w:hAnsi="David"/>
          <w:rtl/>
        </w:rPr>
        <w:t>'</w:t>
      </w:r>
      <w:r>
        <w:rPr>
          <w:rFonts w:ascii="David" w:hAnsi="David" w:hint="cs"/>
          <w:rtl/>
        </w:rPr>
        <w:t xml:space="preserve">, אלא הייתה נרשמת על שמה מכח הסכם הגירושין ואגב הגירושין. </w:t>
      </w:r>
    </w:p>
    <w:p w:rsidR="00D513AA" w:rsidRDefault="00D513AA" w:rsidP="00364DDD">
      <w:pPr>
        <w:spacing w:after="120" w:line="360" w:lineRule="auto"/>
        <w:ind w:left="720"/>
        <w:jc w:val="both"/>
        <w:rPr>
          <w:rFonts w:ascii="David" w:hAnsi="David"/>
          <w:rtl/>
        </w:rPr>
      </w:pPr>
      <w:r>
        <w:rPr>
          <w:rFonts w:ascii="David" w:hAnsi="David" w:hint="cs"/>
          <w:rtl/>
        </w:rPr>
        <w:t xml:space="preserve">הדבר אף עולה בקנה אחד עם </w:t>
      </w:r>
      <w:r w:rsidRPr="00E526FC">
        <w:rPr>
          <w:rFonts w:ascii="David" w:hAnsi="David" w:hint="cs"/>
          <w:b/>
          <w:bCs/>
          <w:rtl/>
        </w:rPr>
        <w:t>הציפיה הלגיטימית לאיזון</w:t>
      </w:r>
      <w:r>
        <w:rPr>
          <w:rFonts w:ascii="David" w:hAnsi="David" w:hint="cs"/>
          <w:rtl/>
        </w:rPr>
        <w:t xml:space="preserve"> בין בני הזוג בחלוקת הנכסים המשותפים מכוח חוק יחסי ממון. האיש קיבל חנות ברחוב </w:t>
      </w:r>
      <w:r w:rsidR="00364DDD">
        <w:rPr>
          <w:rFonts w:ascii="David" w:hAnsi="David" w:hint="cs"/>
          <w:rtl/>
        </w:rPr>
        <w:t>... בעיר ...</w:t>
      </w:r>
      <w:r>
        <w:rPr>
          <w:rFonts w:ascii="David" w:hAnsi="David" w:hint="cs"/>
          <w:rtl/>
        </w:rPr>
        <w:t xml:space="preserve"> בהסכמת האישה, והאישה קיבלה החנות דנן בהסכמת האיש. </w:t>
      </w:r>
    </w:p>
    <w:p w:rsidR="00D513AA" w:rsidRDefault="00D513AA" w:rsidP="00432342">
      <w:pPr>
        <w:spacing w:after="120" w:line="360" w:lineRule="auto"/>
        <w:ind w:left="720"/>
        <w:jc w:val="both"/>
        <w:rPr>
          <w:rFonts w:ascii="David" w:hAnsi="David"/>
          <w:rtl/>
        </w:rPr>
      </w:pPr>
      <w:r w:rsidRPr="00E526FC">
        <w:rPr>
          <w:rFonts w:ascii="David" w:hAnsi="David" w:hint="cs"/>
          <w:u w:val="single"/>
          <w:rtl/>
        </w:rPr>
        <w:t>חיזוק לדבר מוצאים בתוספת להסכם הגירושין בכתב ידו של האיש, בסעיף 11.1, כי</w:t>
      </w:r>
      <w:r>
        <w:rPr>
          <w:rFonts w:ascii="David" w:hAnsi="David" w:hint="cs"/>
          <w:rtl/>
        </w:rPr>
        <w:t>:</w:t>
      </w:r>
    </w:p>
    <w:p w:rsidR="00D513AA" w:rsidRDefault="00D513AA" w:rsidP="00432342">
      <w:pPr>
        <w:spacing w:after="120" w:line="360" w:lineRule="auto"/>
        <w:ind w:left="720"/>
        <w:jc w:val="both"/>
        <w:rPr>
          <w:rFonts w:ascii="David" w:hAnsi="David"/>
          <w:b/>
          <w:bCs/>
          <w:rtl/>
        </w:rPr>
      </w:pPr>
      <w:r w:rsidRPr="00C7597B">
        <w:rPr>
          <w:rFonts w:ascii="David" w:hAnsi="David" w:hint="cs"/>
          <w:b/>
          <w:bCs/>
          <w:rtl/>
        </w:rPr>
        <w:t>"</w:t>
      </w:r>
      <w:r w:rsidRPr="00C7597B">
        <w:rPr>
          <w:rFonts w:ascii="David" w:hAnsi="David"/>
          <w:b/>
          <w:bCs/>
          <w:rtl/>
        </w:rPr>
        <w:t xml:space="preserve">החנות תנוהל על ידי האישה וכולל רווחים והפסדים, </w:t>
      </w:r>
      <w:r w:rsidRPr="00C7597B">
        <w:rPr>
          <w:rFonts w:ascii="David" w:hAnsi="David"/>
          <w:b/>
          <w:bCs/>
          <w:u w:val="single"/>
          <w:rtl/>
        </w:rPr>
        <w:t>הכל שייך לה</w:t>
      </w:r>
      <w:r w:rsidRPr="00C7597B">
        <w:rPr>
          <w:rFonts w:ascii="David" w:hAnsi="David"/>
          <w:b/>
          <w:bCs/>
          <w:rtl/>
        </w:rPr>
        <w:t>"</w:t>
      </w:r>
      <w:r>
        <w:rPr>
          <w:rFonts w:ascii="David" w:hAnsi="David" w:hint="cs"/>
          <w:b/>
          <w:bCs/>
          <w:rtl/>
        </w:rPr>
        <w:t xml:space="preserve"> </w:t>
      </w:r>
      <w:r>
        <w:rPr>
          <w:rFonts w:ascii="David" w:hAnsi="David" w:hint="cs"/>
          <w:rtl/>
        </w:rPr>
        <w:t xml:space="preserve">(ההדגשה שלי </w:t>
      </w:r>
      <w:r>
        <w:rPr>
          <w:rFonts w:ascii="David" w:hAnsi="David"/>
          <w:rtl/>
        </w:rPr>
        <w:t>–</w:t>
      </w:r>
      <w:r>
        <w:rPr>
          <w:rFonts w:ascii="David" w:hAnsi="David" w:hint="cs"/>
          <w:rtl/>
        </w:rPr>
        <w:t xml:space="preserve"> ח"ש)</w:t>
      </w:r>
      <w:r w:rsidRPr="00B80F5F">
        <w:rPr>
          <w:rFonts w:ascii="David" w:hAnsi="David"/>
          <w:rtl/>
        </w:rPr>
        <w:t>.</w:t>
      </w:r>
    </w:p>
    <w:p w:rsidR="00D513AA" w:rsidRDefault="00D513AA" w:rsidP="00432342">
      <w:pPr>
        <w:spacing w:after="120" w:line="360" w:lineRule="auto"/>
        <w:ind w:left="720" w:hanging="720"/>
        <w:jc w:val="both"/>
        <w:rPr>
          <w:rFonts w:ascii="David" w:hAnsi="David"/>
          <w:rtl/>
        </w:rPr>
      </w:pPr>
      <w:r>
        <w:rPr>
          <w:rFonts w:ascii="David" w:hAnsi="David" w:hint="cs"/>
          <w:rtl/>
        </w:rPr>
        <w:t>34.</w:t>
      </w:r>
      <w:r>
        <w:rPr>
          <w:rFonts w:ascii="David" w:hAnsi="David" w:hint="cs"/>
          <w:rtl/>
        </w:rPr>
        <w:tab/>
        <w:t xml:space="preserve">ההיגיון בבקשת האישה לרשום החנות על שם בתה </w:t>
      </w:r>
      <w:r w:rsidR="00E94E05">
        <w:rPr>
          <w:rFonts w:ascii="David" w:hAnsi="David" w:hint="cs"/>
          <w:rtl/>
        </w:rPr>
        <w:t>מ</w:t>
      </w:r>
      <w:r w:rsidR="00E94E05">
        <w:rPr>
          <w:rFonts w:ascii="David" w:hAnsi="David"/>
          <w:rtl/>
        </w:rPr>
        <w:t>'</w:t>
      </w:r>
      <w:r>
        <w:rPr>
          <w:rFonts w:ascii="David" w:hAnsi="David" w:hint="cs"/>
          <w:rtl/>
        </w:rPr>
        <w:t>, בנאמנות לטובתה, נעוץ בחובות הרבים בהם הייתה שרויה באותה עת.</w:t>
      </w:r>
    </w:p>
    <w:p w:rsidR="00D513AA" w:rsidRDefault="00D513AA" w:rsidP="00432342">
      <w:pPr>
        <w:spacing w:after="120" w:line="360" w:lineRule="auto"/>
        <w:ind w:left="720" w:hanging="720"/>
        <w:jc w:val="both"/>
        <w:rPr>
          <w:rFonts w:ascii="David" w:hAnsi="David"/>
          <w:rtl/>
        </w:rPr>
      </w:pPr>
      <w:r>
        <w:rPr>
          <w:rFonts w:ascii="David" w:hAnsi="David"/>
          <w:rtl/>
        </w:rPr>
        <w:lastRenderedPageBreak/>
        <w:tab/>
      </w:r>
      <w:r>
        <w:rPr>
          <w:rFonts w:ascii="David" w:hAnsi="David" w:hint="cs"/>
          <w:rtl/>
        </w:rPr>
        <w:t xml:space="preserve">הבהירה זאת האישה בעדותה, ואף ציינה כי פעלה בנדון בהתאם לעצתו של עו"ד נקארה שערך את הסכם הגירושין, </w:t>
      </w:r>
      <w:r w:rsidRPr="00C7597B">
        <w:rPr>
          <w:rFonts w:ascii="David" w:hAnsi="David" w:hint="cs"/>
          <w:b/>
          <w:bCs/>
          <w:rtl/>
        </w:rPr>
        <w:t>והשופטת קמא נתנה אמון בעדותה</w:t>
      </w:r>
      <w:r>
        <w:rPr>
          <w:rFonts w:ascii="David" w:hAnsi="David" w:hint="cs"/>
          <w:rtl/>
        </w:rPr>
        <w:t xml:space="preserve"> (עמ' 45 לפרו' שו' 21-26).</w:t>
      </w:r>
    </w:p>
    <w:p w:rsidR="00D513AA" w:rsidRDefault="00D513AA" w:rsidP="00432342">
      <w:pPr>
        <w:spacing w:after="120" w:line="360" w:lineRule="auto"/>
        <w:ind w:left="720" w:hanging="720"/>
        <w:jc w:val="both"/>
        <w:rPr>
          <w:rFonts w:ascii="David" w:hAnsi="David"/>
          <w:rtl/>
        </w:rPr>
      </w:pPr>
      <w:r>
        <w:rPr>
          <w:rFonts w:ascii="David" w:hAnsi="David" w:hint="cs"/>
          <w:rtl/>
        </w:rPr>
        <w:t>35.</w:t>
      </w:r>
      <w:r>
        <w:rPr>
          <w:rFonts w:ascii="David" w:hAnsi="David" w:hint="cs"/>
          <w:rtl/>
        </w:rPr>
        <w:tab/>
        <w:t xml:space="preserve">למעשה תצהיר </w:t>
      </w:r>
      <w:r w:rsidRPr="00E526FC">
        <w:rPr>
          <w:rFonts w:ascii="David" w:hAnsi="David" w:hint="cs"/>
          <w:rtl/>
        </w:rPr>
        <w:t>2011 שיקף את</w:t>
      </w:r>
      <w:r w:rsidRPr="00E526FC">
        <w:rPr>
          <w:rFonts w:ascii="David" w:hAnsi="David" w:hint="cs"/>
          <w:b/>
          <w:bCs/>
          <w:rtl/>
        </w:rPr>
        <w:t xml:space="preserve"> המציאות לאשורה</w:t>
      </w:r>
      <w:r>
        <w:rPr>
          <w:rFonts w:ascii="David" w:hAnsi="David" w:hint="cs"/>
          <w:rtl/>
        </w:rPr>
        <w:t xml:space="preserve">, כי הן החנות (העומדת להירשם על שם </w:t>
      </w:r>
      <w:r w:rsidR="00E94E05">
        <w:rPr>
          <w:rFonts w:ascii="David" w:hAnsi="David" w:hint="cs"/>
          <w:rtl/>
        </w:rPr>
        <w:t>מ</w:t>
      </w:r>
      <w:r w:rsidR="00E94E05">
        <w:rPr>
          <w:rFonts w:ascii="David" w:hAnsi="David"/>
          <w:rtl/>
        </w:rPr>
        <w:t>'</w:t>
      </w:r>
      <w:r>
        <w:rPr>
          <w:rFonts w:ascii="David" w:hAnsi="David" w:hint="cs"/>
          <w:rtl/>
        </w:rPr>
        <w:t xml:space="preserve">) והן המכונית (הרשומה על שם </w:t>
      </w:r>
      <w:r w:rsidR="00E94E05">
        <w:rPr>
          <w:rFonts w:ascii="David" w:hAnsi="David" w:hint="cs"/>
          <w:rtl/>
        </w:rPr>
        <w:t>מ</w:t>
      </w:r>
      <w:r w:rsidR="00E94E05">
        <w:rPr>
          <w:rFonts w:ascii="David" w:hAnsi="David"/>
          <w:rtl/>
        </w:rPr>
        <w:t>'</w:t>
      </w:r>
      <w:r>
        <w:rPr>
          <w:rFonts w:ascii="David" w:hAnsi="David" w:hint="cs"/>
          <w:rtl/>
        </w:rPr>
        <w:t xml:space="preserve">) מצויות בנאמנות אצל </w:t>
      </w:r>
      <w:r w:rsidR="00E94E05">
        <w:rPr>
          <w:rFonts w:ascii="David" w:hAnsi="David" w:hint="cs"/>
          <w:rtl/>
        </w:rPr>
        <w:t>מ</w:t>
      </w:r>
      <w:r w:rsidR="00E94E05">
        <w:rPr>
          <w:rFonts w:ascii="David" w:hAnsi="David"/>
          <w:rtl/>
        </w:rPr>
        <w:t>'</w:t>
      </w:r>
      <w:r>
        <w:rPr>
          <w:rFonts w:ascii="David" w:hAnsi="David" w:hint="cs"/>
          <w:rtl/>
        </w:rPr>
        <w:t xml:space="preserve">, לטובת אימה/האישה. </w:t>
      </w:r>
    </w:p>
    <w:p w:rsidR="00D513AA" w:rsidRDefault="00D513AA" w:rsidP="00432342">
      <w:pPr>
        <w:spacing w:after="120" w:line="360" w:lineRule="auto"/>
        <w:ind w:left="720" w:hanging="720"/>
        <w:jc w:val="both"/>
        <w:rPr>
          <w:rFonts w:ascii="David" w:hAnsi="David"/>
          <w:b/>
          <w:bCs/>
          <w:rtl/>
        </w:rPr>
      </w:pPr>
      <w:r>
        <w:rPr>
          <w:rFonts w:ascii="David" w:hAnsi="David"/>
          <w:rtl/>
        </w:rPr>
        <w:tab/>
      </w:r>
      <w:r>
        <w:rPr>
          <w:rFonts w:ascii="David" w:hAnsi="David" w:hint="cs"/>
          <w:rtl/>
        </w:rPr>
        <w:t>לכן, כשהחליטה האישה למכור המכונית, היא עשתה כן תוך ש</w:t>
      </w:r>
      <w:r w:rsidR="00E94E05">
        <w:rPr>
          <w:rFonts w:ascii="David" w:hAnsi="David" w:hint="cs"/>
          <w:rtl/>
        </w:rPr>
        <w:t>מ</w:t>
      </w:r>
      <w:r w:rsidR="00E94E05">
        <w:rPr>
          <w:rFonts w:ascii="David" w:hAnsi="David"/>
          <w:rtl/>
        </w:rPr>
        <w:t>'</w:t>
      </w:r>
      <w:r w:rsidR="00364DDD">
        <w:rPr>
          <w:rFonts w:ascii="David" w:hAnsi="David" w:hint="cs"/>
          <w:rtl/>
        </w:rPr>
        <w:t xml:space="preserve"> חותמת על טופס המכירה, </w:t>
      </w:r>
      <w:r>
        <w:rPr>
          <w:rFonts w:ascii="David" w:hAnsi="David" w:hint="cs"/>
          <w:rtl/>
        </w:rPr>
        <w:t xml:space="preserve">ושלשלה (האישה) את התמורה לכיסה, ללא כל טענה מצד </w:t>
      </w:r>
      <w:r w:rsidR="00E94E05">
        <w:rPr>
          <w:rFonts w:ascii="David" w:hAnsi="David" w:hint="cs"/>
          <w:rtl/>
        </w:rPr>
        <w:t>מ</w:t>
      </w:r>
      <w:r w:rsidR="00E94E05">
        <w:rPr>
          <w:rFonts w:ascii="David" w:hAnsi="David"/>
          <w:rtl/>
        </w:rPr>
        <w:t>'</w:t>
      </w:r>
      <w:r>
        <w:rPr>
          <w:rFonts w:ascii="David" w:hAnsi="David" w:hint="cs"/>
          <w:rtl/>
        </w:rPr>
        <w:t xml:space="preserve"> (עדותה של </w:t>
      </w:r>
      <w:r w:rsidR="00E94E05">
        <w:rPr>
          <w:rFonts w:ascii="David" w:hAnsi="David" w:hint="cs"/>
          <w:rtl/>
        </w:rPr>
        <w:t>מ</w:t>
      </w:r>
      <w:r w:rsidR="00E94E05">
        <w:rPr>
          <w:rFonts w:ascii="David" w:hAnsi="David"/>
          <w:rtl/>
        </w:rPr>
        <w:t>'</w:t>
      </w:r>
      <w:r>
        <w:rPr>
          <w:rFonts w:ascii="David" w:hAnsi="David" w:hint="cs"/>
          <w:rtl/>
        </w:rPr>
        <w:t xml:space="preserve">, עמ' 87 לפרו' שו' 3-21); </w:t>
      </w:r>
    </w:p>
    <w:p w:rsidR="00D513AA" w:rsidRPr="00740105" w:rsidRDefault="00D513AA" w:rsidP="00432342">
      <w:pPr>
        <w:spacing w:after="120" w:line="360" w:lineRule="auto"/>
        <w:ind w:left="720"/>
        <w:jc w:val="both"/>
        <w:rPr>
          <w:rFonts w:ascii="David" w:hAnsi="David"/>
          <w:b/>
          <w:bCs/>
          <w:rtl/>
        </w:rPr>
      </w:pPr>
      <w:r>
        <w:rPr>
          <w:rFonts w:ascii="David" w:hAnsi="David" w:hint="cs"/>
          <w:b/>
          <w:bCs/>
          <w:rtl/>
        </w:rPr>
        <w:t xml:space="preserve">עובדה המחזקת את קיומה של נאמנות בין האישה לבתה </w:t>
      </w:r>
      <w:r w:rsidR="00E94E05">
        <w:rPr>
          <w:rFonts w:ascii="David" w:hAnsi="David" w:hint="cs"/>
          <w:b/>
          <w:bCs/>
          <w:rtl/>
        </w:rPr>
        <w:t>מ</w:t>
      </w:r>
      <w:r w:rsidR="00E94E05">
        <w:rPr>
          <w:rFonts w:ascii="David" w:hAnsi="David"/>
          <w:b/>
          <w:bCs/>
          <w:rtl/>
        </w:rPr>
        <w:t>'</w:t>
      </w:r>
      <w:r>
        <w:rPr>
          <w:rFonts w:ascii="David" w:hAnsi="David" w:hint="cs"/>
          <w:b/>
          <w:bCs/>
          <w:rtl/>
        </w:rPr>
        <w:t xml:space="preserve">, גם בכל הקשור לחנות. </w:t>
      </w:r>
    </w:p>
    <w:p w:rsidR="00D513AA" w:rsidRDefault="00D513AA" w:rsidP="00432342">
      <w:pPr>
        <w:spacing w:after="120" w:line="360" w:lineRule="auto"/>
        <w:ind w:left="720" w:hanging="720"/>
        <w:jc w:val="both"/>
        <w:rPr>
          <w:rFonts w:ascii="David" w:hAnsi="David"/>
          <w:rtl/>
        </w:rPr>
      </w:pPr>
      <w:r>
        <w:rPr>
          <w:rFonts w:ascii="David" w:hAnsi="David" w:hint="cs"/>
          <w:rtl/>
        </w:rPr>
        <w:t>36.</w:t>
      </w:r>
      <w:r>
        <w:rPr>
          <w:rFonts w:ascii="David" w:hAnsi="David" w:hint="cs"/>
          <w:rtl/>
        </w:rPr>
        <w:tab/>
        <w:t xml:space="preserve">נרחיב קמעה בסוגית הנאמנות בנדון, שלטעמי היא </w:t>
      </w:r>
      <w:r w:rsidRPr="00740105">
        <w:rPr>
          <w:rFonts w:ascii="David" w:hAnsi="David" w:hint="cs"/>
          <w:b/>
          <w:bCs/>
          <w:rtl/>
        </w:rPr>
        <w:t>נאמנות משתמעת</w:t>
      </w:r>
      <w:r>
        <w:rPr>
          <w:rFonts w:ascii="David" w:hAnsi="David" w:hint="cs"/>
          <w:rtl/>
        </w:rPr>
        <w:t>, כפי שאף טענה זאת המשיבה בסעיף 37 לכתב התשובה לערעור.</w:t>
      </w:r>
    </w:p>
    <w:p w:rsidR="00D513AA" w:rsidRPr="00740105" w:rsidRDefault="00D513AA" w:rsidP="00432342">
      <w:pPr>
        <w:spacing w:after="120" w:line="360" w:lineRule="auto"/>
        <w:ind w:left="720" w:hanging="720"/>
        <w:jc w:val="both"/>
        <w:rPr>
          <w:rFonts w:ascii="David" w:hAnsi="David"/>
          <w:rtl/>
        </w:rPr>
      </w:pPr>
      <w:r>
        <w:rPr>
          <w:rFonts w:ascii="David" w:hAnsi="David" w:hint="cs"/>
          <w:rtl/>
        </w:rPr>
        <w:t>37</w:t>
      </w:r>
      <w:r>
        <w:rPr>
          <w:rFonts w:ascii="David" w:hAnsi="David"/>
          <w:rtl/>
        </w:rPr>
        <w:t>.       </w:t>
      </w:r>
      <w:r>
        <w:rPr>
          <w:rFonts w:ascii="David" w:hAnsi="David"/>
          <w:rtl/>
        </w:rPr>
        <w:tab/>
      </w:r>
      <w:r w:rsidRPr="00740105">
        <w:rPr>
          <w:rFonts w:ascii="David" w:hAnsi="David"/>
          <w:u w:val="single"/>
          <w:rtl/>
        </w:rPr>
        <w:t xml:space="preserve">נאמנות </w:t>
      </w:r>
      <w:r w:rsidRPr="00FD3729">
        <w:rPr>
          <w:rFonts w:ascii="David" w:hAnsi="David"/>
          <w:u w:val="single"/>
          <w:rtl/>
        </w:rPr>
        <w:t>מוגדרת בסעיף 1 לחוק הנאמנות, התשל</w:t>
      </w:r>
      <w:r>
        <w:rPr>
          <w:rFonts w:ascii="David" w:hAnsi="David"/>
          <w:u w:val="single"/>
          <w:rtl/>
        </w:rPr>
        <w:t>"ט</w:t>
      </w:r>
      <w:r w:rsidRPr="00740105">
        <w:rPr>
          <w:rFonts w:ascii="David" w:hAnsi="David"/>
          <w:u w:val="single"/>
          <w:rtl/>
        </w:rPr>
        <w:t>-1979 (להלן</w:t>
      </w:r>
      <w:r w:rsidRPr="00740105">
        <w:rPr>
          <w:rFonts w:ascii="David" w:hAnsi="David"/>
          <w:b/>
          <w:bCs/>
          <w:u w:val="single"/>
          <w:rtl/>
        </w:rPr>
        <w:t>: "חוק הנאמנות"</w:t>
      </w:r>
      <w:r w:rsidRPr="00740105">
        <w:rPr>
          <w:rFonts w:ascii="David" w:hAnsi="David"/>
          <w:u w:val="single"/>
          <w:rtl/>
        </w:rPr>
        <w:t>), במילים הבאות</w:t>
      </w:r>
      <w:r w:rsidRPr="00740105">
        <w:rPr>
          <w:rFonts w:ascii="David" w:hAnsi="David"/>
          <w:rtl/>
        </w:rPr>
        <w:t>:</w:t>
      </w:r>
    </w:p>
    <w:p w:rsidR="00D513AA" w:rsidRPr="00740105" w:rsidRDefault="00D513AA" w:rsidP="00432342">
      <w:pPr>
        <w:spacing w:after="120" w:line="360" w:lineRule="auto"/>
        <w:ind w:left="1514" w:right="1587" w:hanging="720"/>
        <w:jc w:val="both"/>
        <w:rPr>
          <w:rFonts w:ascii="David" w:hAnsi="David"/>
          <w:rtl/>
        </w:rPr>
      </w:pPr>
      <w:r w:rsidRPr="00740105">
        <w:rPr>
          <w:rFonts w:ascii="David" w:hAnsi="David"/>
          <w:rtl/>
        </w:rPr>
        <w:t xml:space="preserve">            </w:t>
      </w:r>
      <w:r w:rsidRPr="00740105">
        <w:rPr>
          <w:rFonts w:ascii="David" w:hAnsi="David"/>
          <w:b/>
          <w:bCs/>
          <w:rtl/>
        </w:rPr>
        <w:t>"נאמנות היא זיקה לנכס שעל פיה חייב נאמן להחזיק או לפעול בו לטובת נהנה או למטרה אחרת".</w:t>
      </w:r>
    </w:p>
    <w:p w:rsidR="00D513AA" w:rsidRPr="00740105" w:rsidRDefault="00D513AA" w:rsidP="00432342">
      <w:pPr>
        <w:spacing w:after="120" w:line="360" w:lineRule="auto"/>
        <w:ind w:right="1560"/>
        <w:jc w:val="both"/>
        <w:rPr>
          <w:rFonts w:ascii="David" w:hAnsi="David"/>
          <w:rtl/>
        </w:rPr>
      </w:pPr>
      <w:r>
        <w:rPr>
          <w:rFonts w:ascii="David" w:hAnsi="David" w:hint="cs"/>
          <w:rtl/>
        </w:rPr>
        <w:t>38</w:t>
      </w:r>
      <w:r w:rsidRPr="00740105">
        <w:rPr>
          <w:rFonts w:ascii="David" w:hAnsi="David"/>
          <w:rtl/>
        </w:rPr>
        <w:t xml:space="preserve">.        </w:t>
      </w:r>
      <w:r w:rsidRPr="00FD3729">
        <w:rPr>
          <w:rFonts w:ascii="David" w:hAnsi="David"/>
          <w:u w:val="single"/>
          <w:rtl/>
        </w:rPr>
        <w:t>סעיף 2 לחוק הנאמנות מגדיר</w:t>
      </w:r>
      <w:r w:rsidRPr="00740105">
        <w:rPr>
          <w:rFonts w:ascii="David" w:hAnsi="David"/>
          <w:u w:val="single"/>
          <w:rtl/>
        </w:rPr>
        <w:t xml:space="preserve"> כיצד נוצרת נאמנות, כדלקמן</w:t>
      </w:r>
      <w:r w:rsidRPr="00740105">
        <w:rPr>
          <w:rFonts w:ascii="David" w:hAnsi="David"/>
          <w:rtl/>
        </w:rPr>
        <w:t xml:space="preserve">: </w:t>
      </w:r>
    </w:p>
    <w:p w:rsidR="00D513AA" w:rsidRPr="00740105" w:rsidRDefault="00D513AA" w:rsidP="00432342">
      <w:pPr>
        <w:spacing w:after="120" w:line="360" w:lineRule="auto"/>
        <w:ind w:left="1440" w:right="1560"/>
        <w:jc w:val="both"/>
        <w:rPr>
          <w:rFonts w:ascii="David" w:hAnsi="David"/>
          <w:rtl/>
        </w:rPr>
      </w:pPr>
      <w:r w:rsidRPr="00740105">
        <w:rPr>
          <w:rFonts w:ascii="David" w:hAnsi="David"/>
          <w:b/>
          <w:bCs/>
          <w:rtl/>
        </w:rPr>
        <w:t>"נאמנות נוצרת על פי חוק, על פי חוזה עם נאמן או על פי כתב הקדש"</w:t>
      </w:r>
      <w:r w:rsidRPr="00740105">
        <w:rPr>
          <w:rFonts w:ascii="David" w:hAnsi="David"/>
          <w:rtl/>
        </w:rPr>
        <w:t>.</w:t>
      </w:r>
    </w:p>
    <w:p w:rsidR="00D513AA" w:rsidRPr="00740105" w:rsidRDefault="00D513AA" w:rsidP="00432342">
      <w:pPr>
        <w:spacing w:after="120" w:line="360" w:lineRule="auto"/>
        <w:ind w:left="720"/>
        <w:jc w:val="both"/>
        <w:rPr>
          <w:rFonts w:ascii="David" w:hAnsi="David"/>
          <w:rtl/>
        </w:rPr>
      </w:pPr>
      <w:r w:rsidRPr="009F1D2F">
        <w:rPr>
          <w:rFonts w:ascii="David" w:hAnsi="David"/>
          <w:u w:val="single"/>
          <w:rtl/>
        </w:rPr>
        <w:t>ב</w:t>
      </w:r>
      <w:r w:rsidRPr="009F1D2F">
        <w:rPr>
          <w:u w:val="single"/>
        </w:rPr>
        <w:t>-</w:t>
      </w:r>
      <w:r w:rsidRPr="009F1D2F">
        <w:rPr>
          <w:rFonts w:ascii="David" w:hAnsi="David"/>
          <w:u w:val="single"/>
          <w:rtl/>
        </w:rPr>
        <w:t xml:space="preserve">ע"א 5955/09 </w:t>
      </w:r>
      <w:r w:rsidRPr="009F1D2F">
        <w:rPr>
          <w:rFonts w:ascii="David" w:hAnsi="David"/>
          <w:b/>
          <w:bCs/>
          <w:u w:val="single"/>
          <w:rtl/>
        </w:rPr>
        <w:t>כונס</w:t>
      </w:r>
      <w:r w:rsidRPr="00740105">
        <w:rPr>
          <w:rFonts w:ascii="David" w:hAnsi="David"/>
          <w:b/>
          <w:bCs/>
          <w:u w:val="single"/>
          <w:rtl/>
        </w:rPr>
        <w:t xml:space="preserve"> הנכסים אמסטר ואח' נ' מרשה טאובר טוב ואח'</w:t>
      </w:r>
      <w:r w:rsidRPr="00740105">
        <w:rPr>
          <w:rFonts w:ascii="David" w:hAnsi="David"/>
          <w:u w:val="single"/>
          <w:rtl/>
        </w:rPr>
        <w:t xml:space="preserve"> (19.7.11) – (להלן: </w:t>
      </w:r>
      <w:r w:rsidRPr="00740105">
        <w:rPr>
          <w:rFonts w:ascii="David" w:hAnsi="David"/>
          <w:b/>
          <w:bCs/>
          <w:u w:val="single"/>
          <w:rtl/>
        </w:rPr>
        <w:t>"ענין אמסטר"</w:t>
      </w:r>
      <w:r w:rsidRPr="00740105">
        <w:rPr>
          <w:rFonts w:ascii="David" w:hAnsi="David"/>
          <w:u w:val="single"/>
          <w:rtl/>
        </w:rPr>
        <w:t>), ציין כב' השופט הנדל כי</w:t>
      </w:r>
      <w:r w:rsidRPr="00740105">
        <w:rPr>
          <w:rFonts w:ascii="David" w:hAnsi="David"/>
          <w:rtl/>
        </w:rPr>
        <w:t>:</w:t>
      </w:r>
    </w:p>
    <w:p w:rsidR="00D513AA" w:rsidRPr="00740105" w:rsidRDefault="00D513AA" w:rsidP="00432342">
      <w:pPr>
        <w:spacing w:after="120" w:line="360" w:lineRule="auto"/>
        <w:ind w:left="1134" w:right="1134"/>
        <w:jc w:val="both"/>
        <w:rPr>
          <w:rFonts w:ascii="David" w:hAnsi="David"/>
          <w:b/>
          <w:bCs/>
          <w:rtl/>
        </w:rPr>
      </w:pPr>
      <w:r w:rsidRPr="00740105">
        <w:rPr>
          <w:rFonts w:ascii="David" w:hAnsi="David"/>
          <w:b/>
          <w:bCs/>
          <w:rtl/>
        </w:rPr>
        <w:t xml:space="preserve">"שלוש הדרכים ליצירת נאמנות הן: הדין, ההסכמה וכתב ההקדש. עמדת הפסיקה היא כי שלוש דרכים אלו אינן מהוות רשימה סגורה ליצירת נאמנות. הפסיקה הכירה בנאמנות מכוח פסק דין של בית משפט, ואף ב"נאמנות קונסטרוקטיבית" (ראו </w:t>
      </w:r>
      <w:r w:rsidRPr="00FD3729">
        <w:rPr>
          <w:rFonts w:ascii="David" w:hAnsi="David"/>
          <w:b/>
          <w:bCs/>
          <w:rtl/>
        </w:rPr>
        <w:t xml:space="preserve">ע"א 189/95 בנק אוצר </w:t>
      </w:r>
      <w:r w:rsidRPr="00FD3729">
        <w:rPr>
          <w:rFonts w:ascii="David" w:hAnsi="David"/>
          <w:b/>
          <w:bCs/>
          <w:rtl/>
        </w:rPr>
        <w:lastRenderedPageBreak/>
        <w:t>החייל בע"מ נ' מזל אהרונוב, פ"ד נג</w:t>
      </w:r>
      <w:r w:rsidRPr="00740105">
        <w:rPr>
          <w:rFonts w:ascii="David" w:hAnsi="David"/>
          <w:b/>
          <w:bCs/>
          <w:rtl/>
        </w:rPr>
        <w:t xml:space="preserve">(4), 199 (להלן: עניין אהרונוב); </w:t>
      </w:r>
      <w:r w:rsidRPr="00FD3729">
        <w:rPr>
          <w:rFonts w:ascii="David" w:hAnsi="David"/>
          <w:b/>
          <w:bCs/>
          <w:rtl/>
        </w:rPr>
        <w:t>ע"א 5715/95 אלן א' וינשטיין נ' עו"ד אפרים פוקס, פ"ד נד</w:t>
      </w:r>
      <w:r w:rsidRPr="00740105">
        <w:rPr>
          <w:rFonts w:ascii="David" w:hAnsi="David"/>
          <w:b/>
          <w:bCs/>
          <w:rtl/>
        </w:rPr>
        <w:t>(5) 792; מיגל דויטש קנין כרך ד (2007, להלן: דויטש) עמ' 319-318 ובמצוין שם)"</w:t>
      </w:r>
      <w:r w:rsidRPr="00740105">
        <w:rPr>
          <w:rFonts w:ascii="David" w:hAnsi="David"/>
          <w:rtl/>
        </w:rPr>
        <w:t xml:space="preserve"> (עמ' 542).</w:t>
      </w:r>
    </w:p>
    <w:p w:rsidR="00D513AA" w:rsidRPr="00740105" w:rsidRDefault="00D513AA" w:rsidP="00432342">
      <w:pPr>
        <w:spacing w:after="120" w:line="360" w:lineRule="auto"/>
        <w:ind w:left="720"/>
        <w:jc w:val="both"/>
        <w:rPr>
          <w:rFonts w:ascii="David" w:hAnsi="David"/>
          <w:rtl/>
        </w:rPr>
      </w:pPr>
      <w:r w:rsidRPr="00740105">
        <w:rPr>
          <w:rFonts w:ascii="David" w:hAnsi="David"/>
          <w:rtl/>
        </w:rPr>
        <w:t xml:space="preserve">אם כן אחת הדרכים ליצור נאמנות, אף במקרקעין, היא בהסכם שנכרת בין הצדדים (הנאמן והנהנה), </w:t>
      </w:r>
      <w:r w:rsidRPr="00740105">
        <w:rPr>
          <w:rFonts w:ascii="David" w:hAnsi="David"/>
          <w:u w:val="single"/>
          <w:rtl/>
        </w:rPr>
        <w:t>שיכול שיהא בעל-פה משתי סיבות עיקריות</w:t>
      </w:r>
      <w:r w:rsidRPr="00740105">
        <w:rPr>
          <w:rFonts w:ascii="David" w:hAnsi="David"/>
          <w:rtl/>
        </w:rPr>
        <w:t>:</w:t>
      </w:r>
    </w:p>
    <w:p w:rsidR="00D513AA" w:rsidRPr="00740105" w:rsidRDefault="00D513AA" w:rsidP="00432342">
      <w:pPr>
        <w:numPr>
          <w:ilvl w:val="0"/>
          <w:numId w:val="1"/>
        </w:numPr>
        <w:spacing w:after="120" w:line="360" w:lineRule="auto"/>
        <w:jc w:val="both"/>
        <w:rPr>
          <w:rFonts w:ascii="David" w:hAnsi="David"/>
          <w:rtl/>
        </w:rPr>
      </w:pPr>
      <w:r w:rsidRPr="00740105">
        <w:rPr>
          <w:rFonts w:ascii="David" w:hAnsi="David"/>
          <w:rtl/>
        </w:rPr>
        <w:t xml:space="preserve">נאמנות אינה עסקה במקרקעין המחייבת כתב מכח </w:t>
      </w:r>
      <w:r w:rsidRPr="00FD3729">
        <w:rPr>
          <w:rFonts w:ascii="David" w:hAnsi="David"/>
          <w:rtl/>
        </w:rPr>
        <w:t>סעיף 8</w:t>
      </w:r>
      <w:r w:rsidRPr="00740105">
        <w:rPr>
          <w:rFonts w:ascii="David" w:hAnsi="David"/>
          <w:rtl/>
        </w:rPr>
        <w:t xml:space="preserve"> ל</w:t>
      </w:r>
      <w:r w:rsidRPr="009F1D2F">
        <w:rPr>
          <w:rFonts w:ascii="David" w:hAnsi="David"/>
          <w:rtl/>
        </w:rPr>
        <w:t>חוק המקרקעין</w:t>
      </w:r>
      <w:r w:rsidRPr="00740105">
        <w:rPr>
          <w:rFonts w:ascii="David" w:hAnsi="David"/>
          <w:rtl/>
        </w:rPr>
        <w:t xml:space="preserve">, תשכ"ט-1969 (להלן: </w:t>
      </w:r>
      <w:r w:rsidRPr="00740105">
        <w:rPr>
          <w:rFonts w:ascii="David" w:hAnsi="David"/>
          <w:b/>
          <w:bCs/>
          <w:rtl/>
        </w:rPr>
        <w:t>"חוק המקרקעין"</w:t>
      </w:r>
      <w:r w:rsidRPr="00740105">
        <w:rPr>
          <w:rFonts w:ascii="David" w:hAnsi="David"/>
          <w:rtl/>
        </w:rPr>
        <w:t>).</w:t>
      </w:r>
    </w:p>
    <w:p w:rsidR="00D513AA" w:rsidRPr="00740105" w:rsidRDefault="00D513AA" w:rsidP="00432342">
      <w:pPr>
        <w:numPr>
          <w:ilvl w:val="0"/>
          <w:numId w:val="1"/>
        </w:numPr>
        <w:spacing w:after="120" w:line="360" w:lineRule="auto"/>
        <w:jc w:val="both"/>
        <w:rPr>
          <w:rFonts w:ascii="Calibri" w:hAnsi="Calibri" w:cs="Calibri"/>
          <w:rtl/>
        </w:rPr>
      </w:pPr>
      <w:r w:rsidRPr="00740105">
        <w:rPr>
          <w:rFonts w:ascii="David" w:hAnsi="David"/>
          <w:rtl/>
        </w:rPr>
        <w:t xml:space="preserve">אין חובת כתב </w:t>
      </w:r>
      <w:r w:rsidRPr="00FD3729">
        <w:rPr>
          <w:rFonts w:ascii="David" w:hAnsi="David"/>
          <w:rtl/>
        </w:rPr>
        <w:t>בסעיף 2</w:t>
      </w:r>
      <w:r w:rsidRPr="00740105">
        <w:rPr>
          <w:rFonts w:ascii="David" w:hAnsi="David"/>
          <w:rtl/>
        </w:rPr>
        <w:t xml:space="preserve"> ל</w:t>
      </w:r>
      <w:r w:rsidRPr="00FD3729">
        <w:rPr>
          <w:rFonts w:ascii="David" w:hAnsi="David"/>
          <w:rtl/>
        </w:rPr>
        <w:t>חוק הנאמנות</w:t>
      </w:r>
      <w:r w:rsidRPr="00740105">
        <w:rPr>
          <w:rFonts w:ascii="David" w:hAnsi="David"/>
          <w:rtl/>
        </w:rPr>
        <w:t>.</w:t>
      </w:r>
    </w:p>
    <w:p w:rsidR="00D513AA" w:rsidRPr="00740105" w:rsidRDefault="00D513AA" w:rsidP="00432342">
      <w:pPr>
        <w:spacing w:after="120" w:line="360" w:lineRule="auto"/>
        <w:ind w:left="720"/>
        <w:jc w:val="both"/>
        <w:rPr>
          <w:rtl/>
        </w:rPr>
      </w:pPr>
      <w:r w:rsidRPr="00740105">
        <w:rPr>
          <w:rFonts w:ascii="David" w:hAnsi="David"/>
          <w:u w:val="single"/>
          <w:rtl/>
        </w:rPr>
        <w:t>ראו לעני</w:t>
      </w:r>
      <w:r>
        <w:rPr>
          <w:rFonts w:ascii="David" w:hAnsi="David" w:hint="cs"/>
          <w:u w:val="single"/>
          <w:rtl/>
        </w:rPr>
        <w:t>י</w:t>
      </w:r>
      <w:r w:rsidRPr="00740105">
        <w:rPr>
          <w:rFonts w:ascii="David" w:hAnsi="David"/>
          <w:u w:val="single"/>
          <w:rtl/>
        </w:rPr>
        <w:t>ן זה</w:t>
      </w:r>
      <w:r w:rsidRPr="00740105">
        <w:rPr>
          <w:rFonts w:ascii="David" w:hAnsi="David"/>
          <w:rtl/>
        </w:rPr>
        <w:t xml:space="preserve">: </w:t>
      </w:r>
    </w:p>
    <w:p w:rsidR="00D513AA" w:rsidRPr="00740105" w:rsidRDefault="00D513AA" w:rsidP="00432342">
      <w:pPr>
        <w:spacing w:after="120" w:line="360" w:lineRule="auto"/>
        <w:ind w:left="720"/>
        <w:jc w:val="both"/>
        <w:rPr>
          <w:rFonts w:ascii="David" w:hAnsi="David"/>
        </w:rPr>
      </w:pPr>
      <w:r w:rsidRPr="00740105">
        <w:rPr>
          <w:rFonts w:ascii="David" w:hAnsi="David"/>
          <w:rtl/>
        </w:rPr>
        <w:t xml:space="preserve">שלמה כרם, </w:t>
      </w:r>
      <w:r w:rsidRPr="00740105">
        <w:rPr>
          <w:rFonts w:ascii="David" w:hAnsi="David"/>
          <w:b/>
          <w:bCs/>
          <w:rtl/>
        </w:rPr>
        <w:t xml:space="preserve">נאמנות, </w:t>
      </w:r>
      <w:r w:rsidRPr="00740105">
        <w:rPr>
          <w:rFonts w:ascii="David" w:hAnsi="David"/>
          <w:rtl/>
        </w:rPr>
        <w:t xml:space="preserve">מהדורה רביעית, עמ' 184 (להלן: </w:t>
      </w:r>
      <w:r w:rsidRPr="00740105">
        <w:rPr>
          <w:rFonts w:ascii="David" w:hAnsi="David"/>
          <w:b/>
          <w:bCs/>
          <w:rtl/>
        </w:rPr>
        <w:t>"כרם"</w:t>
      </w:r>
      <w:r w:rsidRPr="00740105">
        <w:rPr>
          <w:rFonts w:ascii="David" w:hAnsi="David"/>
          <w:rtl/>
        </w:rPr>
        <w:t>).</w:t>
      </w:r>
    </w:p>
    <w:p w:rsidR="00D513AA" w:rsidRPr="00740105" w:rsidRDefault="00D513AA" w:rsidP="00432342">
      <w:pPr>
        <w:spacing w:after="120" w:line="360" w:lineRule="auto"/>
        <w:ind w:left="720"/>
        <w:jc w:val="both"/>
        <w:rPr>
          <w:rFonts w:ascii="David" w:hAnsi="David"/>
        </w:rPr>
      </w:pPr>
      <w:r w:rsidRPr="009F1D2F">
        <w:rPr>
          <w:rFonts w:ascii="David" w:hAnsi="David"/>
          <w:rtl/>
        </w:rPr>
        <w:t xml:space="preserve">ע"א 3829/91 </w:t>
      </w:r>
      <w:r w:rsidRPr="009F1D2F">
        <w:rPr>
          <w:rFonts w:ascii="David" w:hAnsi="David"/>
          <w:b/>
          <w:bCs/>
          <w:rtl/>
        </w:rPr>
        <w:t>וואלס נ' גת</w:t>
      </w:r>
      <w:r w:rsidRPr="009F1D2F">
        <w:rPr>
          <w:rFonts w:ascii="David" w:hAnsi="David"/>
          <w:rtl/>
        </w:rPr>
        <w:t xml:space="preserve"> פד"י מח</w:t>
      </w:r>
      <w:r w:rsidRPr="00740105">
        <w:rPr>
          <w:rFonts w:ascii="David" w:hAnsi="David"/>
          <w:rtl/>
        </w:rPr>
        <w:t xml:space="preserve">(1) 801, 811-812 (להלן: </w:t>
      </w:r>
      <w:r w:rsidRPr="00740105">
        <w:rPr>
          <w:rFonts w:ascii="David" w:hAnsi="David"/>
          <w:b/>
          <w:bCs/>
          <w:rtl/>
        </w:rPr>
        <w:t>"ענין וואלס"</w:t>
      </w:r>
      <w:r w:rsidRPr="00740105">
        <w:rPr>
          <w:rFonts w:ascii="David" w:hAnsi="David"/>
          <w:rtl/>
        </w:rPr>
        <w:t>).</w:t>
      </w:r>
    </w:p>
    <w:p w:rsidR="00D513AA" w:rsidRPr="00740105" w:rsidRDefault="00D513AA" w:rsidP="00432342">
      <w:pPr>
        <w:spacing w:after="120" w:line="360" w:lineRule="auto"/>
        <w:ind w:left="720"/>
        <w:jc w:val="both"/>
        <w:rPr>
          <w:rFonts w:ascii="David" w:hAnsi="David"/>
          <w:rtl/>
        </w:rPr>
      </w:pPr>
      <w:r w:rsidRPr="009F1D2F">
        <w:rPr>
          <w:rFonts w:ascii="David" w:hAnsi="David"/>
          <w:rtl/>
        </w:rPr>
        <w:t>ת"א (ת"א) 1724/09</w:t>
      </w:r>
      <w:r w:rsidRPr="00740105">
        <w:rPr>
          <w:rFonts w:ascii="David" w:hAnsi="David"/>
          <w:rtl/>
        </w:rPr>
        <w:t xml:space="preserve"> </w:t>
      </w:r>
      <w:r>
        <w:rPr>
          <w:rFonts w:ascii="David" w:hAnsi="David"/>
          <w:b/>
          <w:bCs/>
          <w:rtl/>
        </w:rPr>
        <w:t xml:space="preserve">קורן נ' עזבון </w:t>
      </w:r>
      <w:r>
        <w:rPr>
          <w:rFonts w:ascii="David" w:hAnsi="David" w:hint="cs"/>
          <w:b/>
          <w:bCs/>
          <w:rtl/>
        </w:rPr>
        <w:t>ה</w:t>
      </w:r>
      <w:r w:rsidRPr="00740105">
        <w:rPr>
          <w:rFonts w:ascii="David" w:hAnsi="David"/>
          <w:b/>
          <w:bCs/>
          <w:rtl/>
        </w:rPr>
        <w:t xml:space="preserve">מנוח א.י. ז"ל </w:t>
      </w:r>
      <w:r w:rsidRPr="00740105">
        <w:rPr>
          <w:rFonts w:ascii="David" w:hAnsi="David"/>
          <w:rtl/>
        </w:rPr>
        <w:t>(9.12.13).</w:t>
      </w:r>
    </w:p>
    <w:p w:rsidR="00D513AA" w:rsidRPr="00740105" w:rsidRDefault="00D513AA" w:rsidP="00432342">
      <w:pPr>
        <w:spacing w:after="120" w:line="360" w:lineRule="auto"/>
        <w:ind w:left="720" w:hanging="720"/>
        <w:jc w:val="both"/>
        <w:rPr>
          <w:rFonts w:ascii="David" w:hAnsi="David"/>
          <w:rtl/>
        </w:rPr>
      </w:pPr>
      <w:r>
        <w:rPr>
          <w:rFonts w:ascii="David" w:hAnsi="David" w:hint="cs"/>
          <w:rtl/>
        </w:rPr>
        <w:t>39</w:t>
      </w:r>
      <w:r w:rsidRPr="00740105">
        <w:rPr>
          <w:rFonts w:ascii="David" w:hAnsi="David"/>
          <w:rtl/>
        </w:rPr>
        <w:t xml:space="preserve">.        אין חובה לרשום הנאמנות בלשכת רישום המקרקעין, כעולה </w:t>
      </w:r>
      <w:r w:rsidRPr="00FD3729">
        <w:rPr>
          <w:rFonts w:ascii="David" w:hAnsi="David"/>
          <w:rtl/>
        </w:rPr>
        <w:t>מסעיף 4</w:t>
      </w:r>
      <w:r w:rsidRPr="00740105">
        <w:rPr>
          <w:rFonts w:ascii="David" w:hAnsi="David"/>
          <w:rtl/>
        </w:rPr>
        <w:t xml:space="preserve"> ל</w:t>
      </w:r>
      <w:r w:rsidRPr="00FD3729">
        <w:rPr>
          <w:rFonts w:ascii="David" w:hAnsi="David"/>
          <w:rtl/>
        </w:rPr>
        <w:t>חוק הנאמנות</w:t>
      </w:r>
      <w:r w:rsidRPr="00740105">
        <w:rPr>
          <w:rFonts w:ascii="David" w:hAnsi="David"/>
          <w:rtl/>
        </w:rPr>
        <w:t xml:space="preserve">, הנוקט לשון </w:t>
      </w:r>
      <w:r w:rsidRPr="00740105">
        <w:rPr>
          <w:rFonts w:ascii="David" w:hAnsi="David"/>
          <w:b/>
          <w:bCs/>
          <w:rtl/>
        </w:rPr>
        <w:t>"רשאי"</w:t>
      </w:r>
      <w:r w:rsidRPr="00740105">
        <w:rPr>
          <w:rFonts w:ascii="David" w:hAnsi="David"/>
          <w:rtl/>
        </w:rPr>
        <w:t xml:space="preserve">, אך לא </w:t>
      </w:r>
      <w:r w:rsidRPr="00740105">
        <w:rPr>
          <w:rFonts w:ascii="David" w:hAnsi="David"/>
          <w:b/>
          <w:bCs/>
          <w:rtl/>
        </w:rPr>
        <w:t>"חייב"</w:t>
      </w:r>
      <w:r w:rsidRPr="00740105">
        <w:rPr>
          <w:rFonts w:ascii="David" w:hAnsi="David"/>
          <w:rtl/>
        </w:rPr>
        <w:t>, לענ</w:t>
      </w:r>
      <w:r>
        <w:rPr>
          <w:rFonts w:ascii="David" w:hAnsi="David" w:hint="cs"/>
          <w:rtl/>
        </w:rPr>
        <w:t>י</w:t>
      </w:r>
      <w:r w:rsidRPr="00740105">
        <w:rPr>
          <w:rFonts w:ascii="David" w:hAnsi="David"/>
          <w:rtl/>
        </w:rPr>
        <w:t xml:space="preserve">ין רישום כאמור (כן ראה </w:t>
      </w:r>
      <w:r w:rsidRPr="00740105">
        <w:rPr>
          <w:rFonts w:ascii="David" w:hAnsi="David"/>
          <w:b/>
          <w:bCs/>
          <w:rtl/>
        </w:rPr>
        <w:t>ענין אמסטר</w:t>
      </w:r>
      <w:r w:rsidRPr="00740105">
        <w:rPr>
          <w:rFonts w:ascii="David" w:hAnsi="David"/>
          <w:rtl/>
        </w:rPr>
        <w:t>, עמ' 543).</w:t>
      </w:r>
    </w:p>
    <w:p w:rsidR="00D513AA" w:rsidRDefault="00D513AA" w:rsidP="00432342">
      <w:pPr>
        <w:spacing w:after="120" w:line="360" w:lineRule="auto"/>
        <w:ind w:left="720" w:hanging="720"/>
        <w:jc w:val="both"/>
        <w:rPr>
          <w:rFonts w:ascii="David" w:hAnsi="David"/>
          <w:rtl/>
        </w:rPr>
      </w:pPr>
      <w:r>
        <w:rPr>
          <w:rFonts w:ascii="David" w:hAnsi="David" w:hint="cs"/>
          <w:rtl/>
        </w:rPr>
        <w:t>40</w:t>
      </w:r>
      <w:r w:rsidRPr="00740105">
        <w:rPr>
          <w:rFonts w:ascii="David" w:hAnsi="David"/>
          <w:rtl/>
        </w:rPr>
        <w:t xml:space="preserve">.        אי-דיווח על עסקת הנאמנות למיסוי מקרקעין גם לא פוגם בתוקפה של הנאמנות, למרות קיומה של חובת דיווח כאמור </w:t>
      </w:r>
      <w:r w:rsidRPr="00FD3729">
        <w:rPr>
          <w:rFonts w:ascii="David" w:hAnsi="David"/>
          <w:rtl/>
        </w:rPr>
        <w:t>בסעיף 74</w:t>
      </w:r>
      <w:r w:rsidRPr="00740105">
        <w:rPr>
          <w:rFonts w:ascii="David" w:hAnsi="David"/>
          <w:rtl/>
        </w:rPr>
        <w:t xml:space="preserve"> ל</w:t>
      </w:r>
      <w:r w:rsidRPr="00FD3729">
        <w:rPr>
          <w:rFonts w:ascii="David" w:hAnsi="David"/>
          <w:rtl/>
        </w:rPr>
        <w:t>חוק מיסוי מקרקעין (שבח ורכישה)</w:t>
      </w:r>
      <w:r w:rsidRPr="00740105">
        <w:rPr>
          <w:rFonts w:ascii="David" w:hAnsi="David"/>
          <w:rtl/>
        </w:rPr>
        <w:t>, התשכ"ג-1963.</w:t>
      </w:r>
    </w:p>
    <w:p w:rsidR="001C591C" w:rsidRPr="00740105" w:rsidRDefault="001C591C" w:rsidP="00432342">
      <w:pPr>
        <w:spacing w:after="120" w:line="360" w:lineRule="auto"/>
        <w:ind w:left="720" w:hanging="720"/>
        <w:jc w:val="both"/>
        <w:rPr>
          <w:rFonts w:ascii="David" w:hAnsi="David"/>
          <w:rtl/>
        </w:rPr>
      </w:pPr>
    </w:p>
    <w:p w:rsidR="00D513AA" w:rsidRPr="00740105" w:rsidRDefault="00D513AA" w:rsidP="00432342">
      <w:pPr>
        <w:spacing w:after="120" w:line="360" w:lineRule="auto"/>
        <w:ind w:left="720" w:hanging="720"/>
        <w:jc w:val="both"/>
        <w:rPr>
          <w:rFonts w:ascii="David" w:hAnsi="David"/>
          <w:rtl/>
        </w:rPr>
      </w:pPr>
      <w:r w:rsidRPr="00740105">
        <w:rPr>
          <w:rFonts w:ascii="David" w:hAnsi="David"/>
          <w:rtl/>
        </w:rPr>
        <w:t xml:space="preserve">            </w:t>
      </w:r>
      <w:r>
        <w:rPr>
          <w:rFonts w:ascii="David" w:hAnsi="David"/>
          <w:rtl/>
        </w:rPr>
        <w:tab/>
      </w:r>
      <w:r w:rsidRPr="00740105">
        <w:rPr>
          <w:rFonts w:ascii="David" w:hAnsi="David"/>
          <w:u w:val="single"/>
          <w:rtl/>
        </w:rPr>
        <w:t>ראה לענין זה</w:t>
      </w:r>
      <w:r w:rsidRPr="00740105">
        <w:rPr>
          <w:rFonts w:ascii="David" w:hAnsi="David"/>
          <w:rtl/>
        </w:rPr>
        <w:t>:</w:t>
      </w:r>
    </w:p>
    <w:p w:rsidR="00D513AA" w:rsidRPr="00740105" w:rsidRDefault="00D513AA" w:rsidP="00432342">
      <w:pPr>
        <w:spacing w:after="120" w:line="360" w:lineRule="auto"/>
        <w:ind w:left="720" w:hanging="720"/>
        <w:jc w:val="both"/>
        <w:rPr>
          <w:rFonts w:ascii="David" w:hAnsi="David"/>
          <w:rtl/>
        </w:rPr>
      </w:pPr>
      <w:r>
        <w:rPr>
          <w:rFonts w:ascii="David" w:hAnsi="David"/>
          <w:rtl/>
        </w:rPr>
        <w:lastRenderedPageBreak/>
        <w:tab/>
      </w:r>
      <w:r w:rsidRPr="00740105">
        <w:rPr>
          <w:rFonts w:ascii="David" w:hAnsi="David"/>
          <w:b/>
          <w:bCs/>
          <w:rtl/>
        </w:rPr>
        <w:t>ענין אמסטר</w:t>
      </w:r>
      <w:r w:rsidRPr="00740105">
        <w:rPr>
          <w:rFonts w:ascii="David" w:hAnsi="David"/>
          <w:rtl/>
        </w:rPr>
        <w:t>, סעיף 6 לפסק הדין.</w:t>
      </w:r>
    </w:p>
    <w:p w:rsidR="00D513AA" w:rsidRPr="00740105" w:rsidRDefault="00D513AA" w:rsidP="00432342">
      <w:pPr>
        <w:spacing w:after="120" w:line="360" w:lineRule="auto"/>
        <w:ind w:left="720" w:hanging="720"/>
        <w:jc w:val="both"/>
        <w:rPr>
          <w:rFonts w:ascii="David" w:hAnsi="David"/>
          <w:rtl/>
        </w:rPr>
      </w:pPr>
      <w:r>
        <w:rPr>
          <w:rFonts w:ascii="David" w:hAnsi="David"/>
          <w:rtl/>
        </w:rPr>
        <w:tab/>
      </w:r>
      <w:r w:rsidRPr="00651192">
        <w:rPr>
          <w:rFonts w:ascii="David" w:hAnsi="David"/>
          <w:rtl/>
        </w:rPr>
        <w:t>ת"א (מר') 323-06-09</w:t>
      </w:r>
      <w:r w:rsidRPr="00740105">
        <w:rPr>
          <w:rFonts w:ascii="David" w:hAnsi="David"/>
          <w:rtl/>
        </w:rPr>
        <w:t xml:space="preserve"> </w:t>
      </w:r>
      <w:r w:rsidRPr="00740105">
        <w:rPr>
          <w:rFonts w:ascii="David" w:hAnsi="David"/>
          <w:b/>
          <w:bCs/>
          <w:rtl/>
        </w:rPr>
        <w:t xml:space="preserve">שלום כהן נ' שטריקר </w:t>
      </w:r>
      <w:r w:rsidRPr="00740105">
        <w:rPr>
          <w:rFonts w:ascii="David" w:hAnsi="David"/>
          <w:rtl/>
        </w:rPr>
        <w:t>[פורסם בנבו] (28.12.11, סעיף 8).</w:t>
      </w:r>
    </w:p>
    <w:p w:rsidR="00D513AA" w:rsidRPr="00740105" w:rsidRDefault="00D513AA" w:rsidP="00432342">
      <w:pPr>
        <w:spacing w:after="120" w:line="360" w:lineRule="auto"/>
        <w:ind w:left="720" w:hanging="720"/>
        <w:jc w:val="both"/>
        <w:rPr>
          <w:rFonts w:ascii="David" w:hAnsi="David"/>
          <w:rtl/>
        </w:rPr>
      </w:pPr>
      <w:r>
        <w:rPr>
          <w:rFonts w:ascii="David" w:hAnsi="David" w:hint="cs"/>
          <w:rtl/>
        </w:rPr>
        <w:t>41</w:t>
      </w:r>
      <w:r w:rsidRPr="00740105">
        <w:rPr>
          <w:rFonts w:ascii="David" w:hAnsi="David"/>
          <w:rtl/>
        </w:rPr>
        <w:t xml:space="preserve">.        כאמור נאמנות אפשרית גם במקרקעין. היא אינה סותרת את הרישום בלשכת רישום המקרקעין, אלא מבקשת ליתן לו משמעות נוספת שאינה משתקפת על פני נסח הרישום. על כן, נקבע כי אין בהוראת </w:t>
      </w:r>
      <w:r w:rsidRPr="00FD3729">
        <w:rPr>
          <w:rFonts w:ascii="David" w:hAnsi="David"/>
          <w:rtl/>
        </w:rPr>
        <w:t>סעיף 125</w:t>
      </w:r>
      <w:r w:rsidRPr="00740105">
        <w:rPr>
          <w:rFonts w:ascii="David" w:hAnsi="David"/>
          <w:rtl/>
        </w:rPr>
        <w:t xml:space="preserve"> ל</w:t>
      </w:r>
      <w:r w:rsidRPr="00FD3729">
        <w:rPr>
          <w:rFonts w:ascii="David" w:hAnsi="David"/>
          <w:rtl/>
        </w:rPr>
        <w:t>חוק המקרקעין</w:t>
      </w:r>
      <w:r w:rsidRPr="00740105">
        <w:rPr>
          <w:rFonts w:ascii="David" w:hAnsi="David"/>
          <w:rtl/>
        </w:rPr>
        <w:t xml:space="preserve"> לעיל כדי להכשיל קיומה של נאמנות. </w:t>
      </w:r>
    </w:p>
    <w:p w:rsidR="00D513AA" w:rsidRPr="00740105" w:rsidRDefault="00D513AA" w:rsidP="00432342">
      <w:pPr>
        <w:spacing w:after="120" w:line="360" w:lineRule="auto"/>
        <w:ind w:left="720"/>
        <w:jc w:val="both"/>
        <w:rPr>
          <w:rFonts w:ascii="David" w:hAnsi="David"/>
          <w:rtl/>
        </w:rPr>
      </w:pPr>
      <w:r w:rsidRPr="00740105">
        <w:rPr>
          <w:rFonts w:ascii="David" w:hAnsi="David"/>
          <w:u w:val="single"/>
          <w:rtl/>
        </w:rPr>
        <w:t>ראו לענין זה</w:t>
      </w:r>
      <w:r w:rsidRPr="00740105">
        <w:rPr>
          <w:rFonts w:ascii="David" w:hAnsi="David"/>
          <w:rtl/>
        </w:rPr>
        <w:t xml:space="preserve">: </w:t>
      </w:r>
    </w:p>
    <w:p w:rsidR="00D513AA" w:rsidRPr="00740105" w:rsidRDefault="00D513AA" w:rsidP="00432342">
      <w:pPr>
        <w:spacing w:after="120" w:line="360" w:lineRule="auto"/>
        <w:ind w:left="720"/>
        <w:jc w:val="both"/>
        <w:rPr>
          <w:rFonts w:ascii="David" w:hAnsi="David"/>
          <w:rtl/>
        </w:rPr>
      </w:pPr>
      <w:r w:rsidRPr="008A244F">
        <w:rPr>
          <w:rFonts w:ascii="David" w:hAnsi="David"/>
          <w:rtl/>
        </w:rPr>
        <w:t>ע"א 8168/09</w:t>
      </w:r>
      <w:r w:rsidRPr="00740105">
        <w:rPr>
          <w:rFonts w:ascii="David" w:hAnsi="David"/>
          <w:rtl/>
        </w:rPr>
        <w:t xml:space="preserve"> </w:t>
      </w:r>
      <w:r w:rsidRPr="00740105">
        <w:rPr>
          <w:rFonts w:ascii="David" w:hAnsi="David"/>
          <w:b/>
          <w:bCs/>
          <w:rtl/>
        </w:rPr>
        <w:t>ועד חברת עולי משהד (אירן) ירושלים נ' הועד המרכזי לעולי (אנוסי) משהד אירן בישראל</w:t>
      </w:r>
      <w:r w:rsidRPr="00740105">
        <w:rPr>
          <w:rFonts w:ascii="David" w:hAnsi="David"/>
          <w:rtl/>
        </w:rPr>
        <w:t xml:space="preserve"> [פורסם בנבו] (23.10.2012). </w:t>
      </w:r>
    </w:p>
    <w:p w:rsidR="00D513AA" w:rsidRPr="00740105" w:rsidRDefault="00D513AA" w:rsidP="00432342">
      <w:pPr>
        <w:spacing w:after="120" w:line="360" w:lineRule="auto"/>
        <w:ind w:left="720" w:hanging="720"/>
        <w:jc w:val="both"/>
        <w:rPr>
          <w:rFonts w:ascii="David" w:hAnsi="David"/>
          <w:rtl/>
        </w:rPr>
      </w:pPr>
      <w:r>
        <w:rPr>
          <w:rFonts w:ascii="David" w:hAnsi="David" w:hint="cs"/>
          <w:rtl/>
        </w:rPr>
        <w:t>42</w:t>
      </w:r>
      <w:r>
        <w:rPr>
          <w:rFonts w:ascii="David" w:hAnsi="David"/>
          <w:rtl/>
        </w:rPr>
        <w:t>.       </w:t>
      </w:r>
      <w:r>
        <w:rPr>
          <w:rFonts w:ascii="David" w:hAnsi="David"/>
          <w:rtl/>
        </w:rPr>
        <w:tab/>
      </w:r>
      <w:r w:rsidRPr="00740105">
        <w:rPr>
          <w:rFonts w:ascii="David" w:hAnsi="David"/>
          <w:rtl/>
        </w:rPr>
        <w:t xml:space="preserve">במסגרת יחסים בין בני משפחה, בהם מטבע הדברים יש יחסי אמון, ניתן לקבוע שמתקיימת </w:t>
      </w:r>
      <w:r w:rsidRPr="00740105">
        <w:rPr>
          <w:rFonts w:ascii="David" w:hAnsi="David"/>
          <w:b/>
          <w:bCs/>
          <w:rtl/>
        </w:rPr>
        <w:t>נאמנות משתמעת</w:t>
      </w:r>
      <w:r w:rsidRPr="00740105">
        <w:rPr>
          <w:rFonts w:ascii="David" w:hAnsi="David"/>
          <w:rtl/>
        </w:rPr>
        <w:t xml:space="preserve"> (</w:t>
      </w:r>
      <w:r w:rsidRPr="00740105">
        <w:t>IMPLIED TRUST</w:t>
      </w:r>
      <w:r w:rsidRPr="00740105">
        <w:rPr>
          <w:rFonts w:ascii="David" w:hAnsi="David"/>
          <w:rtl/>
        </w:rPr>
        <w:t xml:space="preserve">). </w:t>
      </w:r>
    </w:p>
    <w:p w:rsidR="00D513AA" w:rsidRPr="00740105" w:rsidRDefault="00D513AA" w:rsidP="00432342">
      <w:pPr>
        <w:spacing w:after="120" w:line="360" w:lineRule="auto"/>
        <w:ind w:left="720"/>
        <w:jc w:val="both"/>
        <w:rPr>
          <w:rFonts w:ascii="David" w:hAnsi="David"/>
          <w:rtl/>
        </w:rPr>
      </w:pPr>
      <w:r w:rsidRPr="00740105">
        <w:rPr>
          <w:rFonts w:ascii="David" w:hAnsi="David"/>
          <w:b/>
          <w:bCs/>
          <w:rtl/>
        </w:rPr>
        <w:t>מדובר על נאמנות שמתקיימת במקרה בו מהות היחסים בין הצדדים היא כשל נאמנות, אולם הצדדים לא דיברו במפורש על נאמנות</w:t>
      </w:r>
      <w:r w:rsidRPr="00740105">
        <w:rPr>
          <w:rFonts w:ascii="David" w:hAnsi="David"/>
          <w:rtl/>
        </w:rPr>
        <w:t xml:space="preserve">. </w:t>
      </w:r>
    </w:p>
    <w:p w:rsidR="00D513AA" w:rsidRPr="00740105" w:rsidRDefault="00D513AA" w:rsidP="00432342">
      <w:pPr>
        <w:spacing w:after="120" w:line="360" w:lineRule="auto"/>
        <w:ind w:left="720"/>
        <w:jc w:val="both"/>
        <w:rPr>
          <w:rFonts w:ascii="David" w:hAnsi="David"/>
          <w:rtl/>
        </w:rPr>
      </w:pPr>
      <w:r w:rsidRPr="00740105">
        <w:rPr>
          <w:rFonts w:ascii="David" w:hAnsi="David"/>
          <w:rtl/>
        </w:rPr>
        <w:t xml:space="preserve">בנוסף, נאמנות משתמעת תחול כאשר הכוונה הייתה ליצור נאמנות מפורשת, והצדדים לא עמדו בדרישות הפרוצדוראליות ליצירת נאמנות מפורשת. </w:t>
      </w:r>
    </w:p>
    <w:p w:rsidR="00D513AA" w:rsidRPr="00740105" w:rsidRDefault="00D513AA" w:rsidP="00432342">
      <w:pPr>
        <w:spacing w:after="120" w:line="360" w:lineRule="auto"/>
        <w:ind w:left="720"/>
        <w:jc w:val="both"/>
        <w:rPr>
          <w:rFonts w:ascii="David" w:hAnsi="David"/>
          <w:rtl/>
        </w:rPr>
      </w:pPr>
      <w:r w:rsidRPr="00740105">
        <w:rPr>
          <w:rFonts w:ascii="David" w:hAnsi="David"/>
          <w:rtl/>
        </w:rPr>
        <w:t xml:space="preserve">נאמנות משתמעת הוכרה במשפט הישראלי, לפני </w:t>
      </w:r>
      <w:r w:rsidRPr="00FD3729">
        <w:rPr>
          <w:rFonts w:ascii="David" w:hAnsi="David"/>
          <w:rtl/>
        </w:rPr>
        <w:t>חוק הנאמנות</w:t>
      </w:r>
      <w:r w:rsidRPr="00740105">
        <w:rPr>
          <w:rFonts w:ascii="David" w:hAnsi="David"/>
          <w:rtl/>
        </w:rPr>
        <w:t xml:space="preserve"> ולאחריה. </w:t>
      </w:r>
    </w:p>
    <w:p w:rsidR="00D513AA" w:rsidRPr="00740105" w:rsidRDefault="00D513AA" w:rsidP="00432342">
      <w:pPr>
        <w:spacing w:after="120" w:line="360" w:lineRule="auto"/>
        <w:ind w:left="720"/>
        <w:jc w:val="both"/>
        <w:rPr>
          <w:rFonts w:ascii="David" w:hAnsi="David"/>
          <w:rtl/>
        </w:rPr>
      </w:pPr>
      <w:r w:rsidRPr="00740105">
        <w:rPr>
          <w:rFonts w:ascii="David" w:hAnsi="David"/>
          <w:rtl/>
        </w:rPr>
        <w:t xml:space="preserve">הבסיס לקבלתה של הנאמנות המשתמעת למשפט הישראלי לאחר חקיקת </w:t>
      </w:r>
      <w:r w:rsidRPr="00FD3729">
        <w:rPr>
          <w:rFonts w:ascii="David" w:hAnsi="David"/>
          <w:rtl/>
        </w:rPr>
        <w:t>חוק הנאמנות</w:t>
      </w:r>
      <w:r w:rsidRPr="00740105">
        <w:rPr>
          <w:rFonts w:ascii="David" w:hAnsi="David"/>
          <w:rtl/>
        </w:rPr>
        <w:t xml:space="preserve"> נדון בהרחבה </w:t>
      </w:r>
      <w:r w:rsidRPr="0084067D">
        <w:rPr>
          <w:rFonts w:ascii="David" w:hAnsi="David"/>
          <w:rtl/>
        </w:rPr>
        <w:t>ב</w:t>
      </w:r>
      <w:r w:rsidRPr="00740105">
        <w:rPr>
          <w:rFonts w:ascii="David" w:hAnsi="David"/>
          <w:b/>
          <w:bCs/>
          <w:rtl/>
        </w:rPr>
        <w:t>ענין וואלס</w:t>
      </w:r>
      <w:r w:rsidRPr="00740105">
        <w:rPr>
          <w:rFonts w:ascii="David" w:hAnsi="David"/>
          <w:rtl/>
        </w:rPr>
        <w:t>.</w:t>
      </w:r>
    </w:p>
    <w:p w:rsidR="00D513AA" w:rsidRPr="00740105" w:rsidRDefault="00D513AA" w:rsidP="00432342">
      <w:pPr>
        <w:spacing w:after="120" w:line="360" w:lineRule="auto"/>
        <w:ind w:left="720"/>
        <w:jc w:val="both"/>
        <w:rPr>
          <w:rFonts w:ascii="David" w:hAnsi="David"/>
          <w:rtl/>
        </w:rPr>
      </w:pPr>
      <w:r w:rsidRPr="00740105">
        <w:rPr>
          <w:rFonts w:ascii="David" w:hAnsi="David"/>
          <w:rtl/>
        </w:rPr>
        <w:t xml:space="preserve">באשר ליישום דוקטרינת הנאמנות המשתמעת, נפסק </w:t>
      </w:r>
      <w:r w:rsidRPr="0084067D">
        <w:rPr>
          <w:rFonts w:ascii="David" w:hAnsi="David"/>
          <w:rtl/>
        </w:rPr>
        <w:t>ב</w:t>
      </w:r>
      <w:r w:rsidRPr="00740105">
        <w:rPr>
          <w:rFonts w:ascii="David" w:hAnsi="David"/>
          <w:b/>
          <w:bCs/>
          <w:rtl/>
        </w:rPr>
        <w:t>ענין וואלס</w:t>
      </w:r>
      <w:r w:rsidRPr="00740105">
        <w:rPr>
          <w:rFonts w:ascii="David" w:hAnsi="David"/>
          <w:rtl/>
        </w:rPr>
        <w:t>, כי נאמנות משתמעת היא</w:t>
      </w:r>
      <w:r>
        <w:rPr>
          <w:rFonts w:ascii="David" w:hAnsi="David"/>
          <w:rtl/>
        </w:rPr>
        <w:t xml:space="preserve"> בגדר "נאמנות על פי חוזה" כמצוי</w:t>
      </w:r>
      <w:r w:rsidRPr="00740105">
        <w:rPr>
          <w:rFonts w:ascii="David" w:hAnsi="David"/>
          <w:rtl/>
        </w:rPr>
        <w:t xml:space="preserve">ן </w:t>
      </w:r>
      <w:r w:rsidRPr="00FD3729">
        <w:rPr>
          <w:rFonts w:ascii="David" w:hAnsi="David"/>
          <w:rtl/>
        </w:rPr>
        <w:t>בסעיף 2</w:t>
      </w:r>
      <w:r w:rsidRPr="00740105">
        <w:rPr>
          <w:rFonts w:ascii="David" w:hAnsi="David"/>
          <w:rtl/>
        </w:rPr>
        <w:t xml:space="preserve"> ל</w:t>
      </w:r>
      <w:r w:rsidRPr="00FD3729">
        <w:rPr>
          <w:rFonts w:ascii="David" w:hAnsi="David"/>
          <w:rtl/>
        </w:rPr>
        <w:t>חוק הנאמנות</w:t>
      </w:r>
      <w:r w:rsidRPr="00740105">
        <w:rPr>
          <w:rFonts w:ascii="David" w:hAnsi="David"/>
          <w:rtl/>
        </w:rPr>
        <w:t xml:space="preserve"> (סעיף 10-12 לפסק הדין).</w:t>
      </w:r>
    </w:p>
    <w:p w:rsidR="00D513AA" w:rsidRPr="00740105" w:rsidRDefault="00D513AA" w:rsidP="00432342">
      <w:pPr>
        <w:spacing w:after="120" w:line="360" w:lineRule="auto"/>
        <w:ind w:left="720"/>
        <w:jc w:val="both"/>
        <w:rPr>
          <w:rFonts w:ascii="David" w:hAnsi="David"/>
          <w:b/>
          <w:bCs/>
          <w:rtl/>
        </w:rPr>
      </w:pPr>
      <w:r w:rsidRPr="00740105">
        <w:rPr>
          <w:rFonts w:ascii="David" w:hAnsi="David"/>
          <w:b/>
          <w:bCs/>
          <w:rtl/>
        </w:rPr>
        <w:t>על-כן דומה כי ביחסי משפחה בפרט, לעיתים נכרת חוזה נאמנות ללא דקדוקי פורמליות או פירוט תנאי הנאמנות וזאת בשל יחסי האמון</w:t>
      </w:r>
      <w:r>
        <w:rPr>
          <w:rFonts w:ascii="David" w:hAnsi="David" w:hint="cs"/>
          <w:b/>
          <w:bCs/>
          <w:rtl/>
        </w:rPr>
        <w:t>,</w:t>
      </w:r>
      <w:r w:rsidRPr="00740105">
        <w:rPr>
          <w:rFonts w:ascii="David" w:hAnsi="David"/>
          <w:b/>
          <w:bCs/>
          <w:rtl/>
        </w:rPr>
        <w:t xml:space="preserve"> שמטבע הדברים יוצר הנאמנות רוחש לנאמן.</w:t>
      </w:r>
    </w:p>
    <w:p w:rsidR="00D513AA" w:rsidRPr="00740105" w:rsidRDefault="00D513AA" w:rsidP="00432342">
      <w:pPr>
        <w:spacing w:after="120" w:line="360" w:lineRule="auto"/>
        <w:ind w:left="720"/>
        <w:jc w:val="both"/>
        <w:rPr>
          <w:rFonts w:ascii="David" w:hAnsi="David"/>
          <w:rtl/>
        </w:rPr>
      </w:pPr>
      <w:r w:rsidRPr="00740105">
        <w:rPr>
          <w:rFonts w:ascii="David" w:hAnsi="David"/>
          <w:u w:val="single"/>
          <w:rtl/>
        </w:rPr>
        <w:lastRenderedPageBreak/>
        <w:t>ראו לענין זה</w:t>
      </w:r>
      <w:r w:rsidRPr="00740105">
        <w:rPr>
          <w:rFonts w:ascii="David" w:hAnsi="David"/>
          <w:rtl/>
        </w:rPr>
        <w:t>:</w:t>
      </w:r>
    </w:p>
    <w:p w:rsidR="00D513AA" w:rsidRPr="00740105" w:rsidRDefault="00D513AA" w:rsidP="00432342">
      <w:pPr>
        <w:spacing w:after="120" w:line="360" w:lineRule="auto"/>
        <w:ind w:firstLine="720"/>
        <w:jc w:val="both"/>
        <w:rPr>
          <w:rFonts w:ascii="David" w:hAnsi="David"/>
          <w:rtl/>
        </w:rPr>
      </w:pPr>
      <w:r w:rsidRPr="00740105">
        <w:rPr>
          <w:rFonts w:ascii="David" w:hAnsi="David"/>
          <w:b/>
          <w:bCs/>
          <w:rtl/>
        </w:rPr>
        <w:t>כרם</w:t>
      </w:r>
      <w:r w:rsidRPr="00740105">
        <w:rPr>
          <w:rFonts w:ascii="David" w:hAnsi="David"/>
          <w:rtl/>
        </w:rPr>
        <w:t>, עמודים 184 ו-307.</w:t>
      </w:r>
    </w:p>
    <w:p w:rsidR="00D513AA" w:rsidRPr="00740105" w:rsidRDefault="00D513AA" w:rsidP="00432342">
      <w:pPr>
        <w:spacing w:after="120" w:line="360" w:lineRule="auto"/>
        <w:ind w:left="720"/>
        <w:jc w:val="both"/>
        <w:rPr>
          <w:rFonts w:ascii="David" w:hAnsi="David"/>
          <w:rtl/>
        </w:rPr>
      </w:pPr>
      <w:r w:rsidRPr="0084067D">
        <w:rPr>
          <w:rFonts w:ascii="David" w:hAnsi="David"/>
          <w:rtl/>
        </w:rPr>
        <w:t>תמ"ש (ב"ש) 40249-01-13</w:t>
      </w:r>
      <w:r w:rsidRPr="00740105">
        <w:rPr>
          <w:rFonts w:ascii="David" w:hAnsi="David"/>
          <w:rtl/>
        </w:rPr>
        <w:t xml:space="preserve"> </w:t>
      </w:r>
      <w:r w:rsidRPr="00740105">
        <w:rPr>
          <w:rFonts w:ascii="David" w:hAnsi="David"/>
          <w:b/>
          <w:bCs/>
          <w:rtl/>
        </w:rPr>
        <w:t>פלוני נ' אלמונית ואח'</w:t>
      </w:r>
      <w:r w:rsidRPr="00740105">
        <w:rPr>
          <w:rFonts w:ascii="David" w:hAnsi="David"/>
          <w:rtl/>
        </w:rPr>
        <w:t xml:space="preserve"> (22.4.14).</w:t>
      </w:r>
    </w:p>
    <w:p w:rsidR="00D513AA" w:rsidRPr="00740105" w:rsidRDefault="00D513AA" w:rsidP="00432342">
      <w:pPr>
        <w:spacing w:after="120" w:line="360" w:lineRule="auto"/>
        <w:ind w:left="720"/>
        <w:jc w:val="both"/>
        <w:rPr>
          <w:rFonts w:ascii="David" w:hAnsi="David"/>
          <w:rtl/>
        </w:rPr>
      </w:pPr>
      <w:r w:rsidRPr="0084067D">
        <w:rPr>
          <w:rFonts w:ascii="David" w:hAnsi="David"/>
          <w:rtl/>
        </w:rPr>
        <w:t>תמ"ש (נצ') 2057-03-12</w:t>
      </w:r>
      <w:r w:rsidRPr="00740105">
        <w:rPr>
          <w:rFonts w:ascii="David" w:hAnsi="David"/>
          <w:rtl/>
        </w:rPr>
        <w:t xml:space="preserve"> </w:t>
      </w:r>
      <w:r>
        <w:rPr>
          <w:rFonts w:ascii="David" w:hAnsi="David"/>
          <w:b/>
          <w:bCs/>
          <w:rtl/>
        </w:rPr>
        <w:t>מ.מ.כ. ז.כ. ואח'</w:t>
      </w:r>
      <w:r w:rsidRPr="00740105">
        <w:rPr>
          <w:rFonts w:ascii="David" w:hAnsi="David"/>
          <w:rtl/>
        </w:rPr>
        <w:t xml:space="preserve"> (2.1.14).</w:t>
      </w:r>
    </w:p>
    <w:p w:rsidR="00D513AA" w:rsidRDefault="00D513AA" w:rsidP="00432342">
      <w:pPr>
        <w:spacing w:after="120" w:line="360" w:lineRule="auto"/>
        <w:ind w:left="720"/>
        <w:jc w:val="both"/>
        <w:rPr>
          <w:rFonts w:ascii="David" w:hAnsi="David"/>
          <w:rtl/>
        </w:rPr>
      </w:pPr>
      <w:r w:rsidRPr="0084067D">
        <w:rPr>
          <w:rFonts w:ascii="David" w:hAnsi="David"/>
          <w:rtl/>
        </w:rPr>
        <w:t>תמ"ש (ת"א) 38300/98</w:t>
      </w:r>
      <w:r w:rsidRPr="00740105">
        <w:rPr>
          <w:rFonts w:ascii="David" w:hAnsi="David"/>
          <w:rtl/>
        </w:rPr>
        <w:t xml:space="preserve"> </w:t>
      </w:r>
      <w:r>
        <w:rPr>
          <w:rFonts w:ascii="David" w:hAnsi="David"/>
          <w:b/>
          <w:bCs/>
          <w:rtl/>
        </w:rPr>
        <w:t>צ.ב. נ' ב.ב</w:t>
      </w:r>
      <w:r w:rsidRPr="00740105">
        <w:rPr>
          <w:rFonts w:ascii="David" w:hAnsi="David"/>
          <w:rtl/>
        </w:rPr>
        <w:t xml:space="preserve"> (23.9.01)</w:t>
      </w:r>
      <w:r>
        <w:rPr>
          <w:rFonts w:ascii="David" w:hAnsi="David" w:hint="cs"/>
          <w:rtl/>
        </w:rPr>
        <w:t>.</w:t>
      </w:r>
    </w:p>
    <w:p w:rsidR="001C591C" w:rsidRDefault="001C591C" w:rsidP="00432342">
      <w:pPr>
        <w:spacing w:after="120" w:line="360" w:lineRule="auto"/>
        <w:ind w:left="720"/>
        <w:jc w:val="both"/>
        <w:rPr>
          <w:rFonts w:ascii="David" w:hAnsi="David"/>
          <w:rtl/>
        </w:rPr>
      </w:pPr>
    </w:p>
    <w:p w:rsidR="00D513AA" w:rsidRDefault="00D513AA" w:rsidP="00432342">
      <w:pPr>
        <w:spacing w:after="120" w:line="360" w:lineRule="auto"/>
        <w:ind w:left="720" w:hanging="720"/>
        <w:jc w:val="both"/>
        <w:rPr>
          <w:rFonts w:ascii="David" w:hAnsi="David"/>
          <w:rtl/>
        </w:rPr>
      </w:pPr>
      <w:r>
        <w:rPr>
          <w:rFonts w:ascii="David" w:hAnsi="David" w:hint="cs"/>
          <w:rtl/>
        </w:rPr>
        <w:t>43.</w:t>
      </w:r>
      <w:r>
        <w:rPr>
          <w:rFonts w:ascii="David" w:hAnsi="David" w:hint="cs"/>
          <w:rtl/>
        </w:rPr>
        <w:tab/>
      </w:r>
      <w:r w:rsidRPr="009C5839">
        <w:rPr>
          <w:rFonts w:ascii="David" w:hAnsi="David" w:hint="cs"/>
          <w:u w:val="single"/>
          <w:rtl/>
        </w:rPr>
        <w:t xml:space="preserve">אם ניישם את הלכת </w:t>
      </w:r>
      <w:r w:rsidRPr="00F6591B">
        <w:rPr>
          <w:rFonts w:ascii="David" w:hAnsi="David" w:hint="cs"/>
          <w:b/>
          <w:bCs/>
          <w:u w:val="single"/>
          <w:rtl/>
        </w:rPr>
        <w:t>הנאמנות המשתמעת</w:t>
      </w:r>
      <w:r>
        <w:rPr>
          <w:rFonts w:ascii="David" w:hAnsi="David" w:hint="cs"/>
          <w:u w:val="single"/>
          <w:rtl/>
        </w:rPr>
        <w:t xml:space="preserve"> על המקרה דנן, נאמר כי הדברים מ</w:t>
      </w:r>
      <w:r w:rsidRPr="009C5839">
        <w:rPr>
          <w:rFonts w:ascii="David" w:hAnsi="David" w:hint="cs"/>
          <w:u w:val="single"/>
          <w:rtl/>
        </w:rPr>
        <w:t>סתדרים היטב, כדלקמן</w:t>
      </w:r>
      <w:r>
        <w:rPr>
          <w:rFonts w:ascii="David" w:hAnsi="David" w:hint="cs"/>
          <w:rtl/>
        </w:rPr>
        <w:t>:</w:t>
      </w:r>
    </w:p>
    <w:p w:rsidR="00D513AA" w:rsidRDefault="00D513AA" w:rsidP="00432342">
      <w:pPr>
        <w:spacing w:after="120" w:line="360" w:lineRule="auto"/>
        <w:ind w:left="720" w:hanging="720"/>
        <w:jc w:val="both"/>
        <w:rPr>
          <w:rFonts w:ascii="David" w:hAnsi="David"/>
          <w:rtl/>
        </w:rPr>
      </w:pPr>
      <w:r>
        <w:rPr>
          <w:rFonts w:ascii="David" w:hAnsi="David"/>
          <w:rtl/>
        </w:rPr>
        <w:tab/>
      </w:r>
      <w:r>
        <w:rPr>
          <w:rFonts w:ascii="David" w:hAnsi="David" w:hint="cs"/>
          <w:rtl/>
        </w:rPr>
        <w:t>א.</w:t>
      </w:r>
      <w:r>
        <w:rPr>
          <w:rFonts w:ascii="David" w:hAnsi="David" w:hint="cs"/>
          <w:rtl/>
        </w:rPr>
        <w:tab/>
        <w:t xml:space="preserve">עסקינן ביחסי הורי ובת </w:t>
      </w:r>
      <w:r>
        <w:rPr>
          <w:rFonts w:ascii="David" w:hAnsi="David"/>
          <w:rtl/>
        </w:rPr>
        <w:t>–</w:t>
      </w:r>
      <w:r>
        <w:rPr>
          <w:rFonts w:ascii="David" w:hAnsi="David" w:hint="cs"/>
          <w:rtl/>
        </w:rPr>
        <w:t xml:space="preserve"> יחסים בין בני משפחה;</w:t>
      </w:r>
    </w:p>
    <w:p w:rsidR="00D513AA" w:rsidRDefault="00D513AA" w:rsidP="00432342">
      <w:pPr>
        <w:spacing w:after="120" w:line="360" w:lineRule="auto"/>
        <w:ind w:left="1440" w:hanging="720"/>
        <w:jc w:val="both"/>
        <w:rPr>
          <w:rFonts w:ascii="David" w:hAnsi="David"/>
          <w:rtl/>
        </w:rPr>
      </w:pPr>
      <w:r>
        <w:rPr>
          <w:rFonts w:ascii="David" w:hAnsi="David" w:hint="cs"/>
          <w:rtl/>
        </w:rPr>
        <w:t>ב.</w:t>
      </w:r>
      <w:r>
        <w:rPr>
          <w:rFonts w:ascii="David" w:hAnsi="David" w:hint="cs"/>
          <w:rtl/>
        </w:rPr>
        <w:tab/>
        <w:t>הגם שהמילה "נאמנות" לא מופיעה בהסכם הגירושין, השתכנעתי (ומיד אפרט מדוע) כי מהות היחסים בין האישה לבת (</w:t>
      </w:r>
      <w:r w:rsidR="00E94E05">
        <w:rPr>
          <w:rFonts w:ascii="David" w:hAnsi="David" w:hint="cs"/>
          <w:rtl/>
        </w:rPr>
        <w:t>מ</w:t>
      </w:r>
      <w:r w:rsidR="00E94E05">
        <w:rPr>
          <w:rFonts w:ascii="David" w:hAnsi="David"/>
          <w:rtl/>
        </w:rPr>
        <w:t>'</w:t>
      </w:r>
      <w:r>
        <w:rPr>
          <w:rFonts w:ascii="David" w:hAnsi="David" w:hint="cs"/>
          <w:rtl/>
        </w:rPr>
        <w:t>) בהקשר של החנות היא כשל נאמנות. לכן ניתן לומר כי קיימת נאמנות משתמעת, במסגרתה הבת נאמנה של האם לענין החנות.</w:t>
      </w:r>
    </w:p>
    <w:p w:rsidR="00D513AA" w:rsidRDefault="00D513AA" w:rsidP="00432342">
      <w:pPr>
        <w:spacing w:after="120" w:line="360" w:lineRule="auto"/>
        <w:ind w:left="1440" w:hanging="720"/>
        <w:jc w:val="both"/>
        <w:rPr>
          <w:rFonts w:ascii="David" w:hAnsi="David"/>
          <w:rtl/>
        </w:rPr>
      </w:pPr>
      <w:r>
        <w:rPr>
          <w:rFonts w:ascii="David" w:hAnsi="David"/>
          <w:rtl/>
        </w:rPr>
        <w:tab/>
      </w:r>
      <w:r>
        <w:rPr>
          <w:rFonts w:ascii="David" w:hAnsi="David" w:hint="cs"/>
          <w:rtl/>
        </w:rPr>
        <w:t xml:space="preserve">בכך תשובה לטענות המערערים כי המילה "נאמנות", כלל לא מופיעה בהסכם הגירושין, ו"נולדה" כרעיון של עו"ד שקור, שערך את תצהיר 2011 (ראו גם טיעוני ב"כ המערער בפנינו בישיבת יום 10.6.2024, עמ' 2 לפרו' שו' 31-33). </w:t>
      </w:r>
    </w:p>
    <w:p w:rsidR="00D513AA" w:rsidRDefault="00D513AA" w:rsidP="00432342">
      <w:pPr>
        <w:spacing w:after="120" w:line="360" w:lineRule="auto"/>
        <w:ind w:left="1440" w:hanging="720"/>
        <w:jc w:val="both"/>
        <w:rPr>
          <w:rFonts w:ascii="David" w:hAnsi="David"/>
          <w:rtl/>
        </w:rPr>
      </w:pPr>
      <w:r>
        <w:rPr>
          <w:rFonts w:ascii="David" w:hAnsi="David" w:hint="cs"/>
          <w:rtl/>
        </w:rPr>
        <w:t>ג.</w:t>
      </w:r>
      <w:r>
        <w:rPr>
          <w:rFonts w:ascii="David" w:hAnsi="David" w:hint="cs"/>
          <w:rtl/>
        </w:rPr>
        <w:tab/>
      </w:r>
      <w:r>
        <w:rPr>
          <w:rFonts w:ascii="David" w:hAnsi="David" w:hint="cs"/>
          <w:b/>
          <w:bCs/>
          <w:u w:val="single"/>
          <w:rtl/>
        </w:rPr>
        <w:t xml:space="preserve">כיצד השתכנעתי </w:t>
      </w:r>
      <w:r w:rsidRPr="005A1D4C">
        <w:rPr>
          <w:rFonts w:ascii="David" w:hAnsi="David" w:hint="cs"/>
          <w:b/>
          <w:bCs/>
          <w:u w:val="single"/>
          <w:rtl/>
        </w:rPr>
        <w:t>כי מהות היחסים שבין הבת לאם בהקשר של החנות היא כשל נאמנות</w:t>
      </w:r>
      <w:r>
        <w:rPr>
          <w:rFonts w:ascii="David" w:hAnsi="David" w:hint="cs"/>
          <w:rtl/>
        </w:rPr>
        <w:t>?</w:t>
      </w:r>
    </w:p>
    <w:p w:rsidR="00D513AA" w:rsidRDefault="00D513AA" w:rsidP="00432342">
      <w:pPr>
        <w:spacing w:after="120" w:line="360" w:lineRule="auto"/>
        <w:ind w:left="1440" w:hanging="720"/>
        <w:jc w:val="both"/>
        <w:rPr>
          <w:rFonts w:ascii="David" w:hAnsi="David"/>
          <w:rtl/>
        </w:rPr>
      </w:pPr>
      <w:r>
        <w:rPr>
          <w:rFonts w:ascii="David" w:hAnsi="David"/>
          <w:rtl/>
        </w:rPr>
        <w:tab/>
      </w:r>
      <w:r>
        <w:rPr>
          <w:rFonts w:ascii="David" w:hAnsi="David" w:hint="cs"/>
          <w:rtl/>
        </w:rPr>
        <w:t xml:space="preserve">מתצהיר 2011 המדבר בעד עצמו, בו </w:t>
      </w:r>
      <w:r w:rsidR="00E94E05">
        <w:rPr>
          <w:rFonts w:ascii="David" w:hAnsi="David" w:hint="cs"/>
          <w:rtl/>
        </w:rPr>
        <w:t>מ</w:t>
      </w:r>
      <w:r w:rsidR="00E94E05">
        <w:rPr>
          <w:rFonts w:ascii="David" w:hAnsi="David"/>
          <w:rtl/>
        </w:rPr>
        <w:t>'</w:t>
      </w:r>
      <w:r>
        <w:rPr>
          <w:rFonts w:ascii="David" w:hAnsi="David" w:hint="cs"/>
          <w:rtl/>
        </w:rPr>
        <w:t xml:space="preserve"> הצהירה כי היא מחזיקה בחנות בנאמנות בעבור אימה/האישה.</w:t>
      </w:r>
    </w:p>
    <w:p w:rsidR="00D513AA" w:rsidRPr="00620557" w:rsidRDefault="00D513AA" w:rsidP="00432342">
      <w:pPr>
        <w:spacing w:after="120" w:line="360" w:lineRule="auto"/>
        <w:ind w:left="1440" w:hanging="720"/>
        <w:jc w:val="both"/>
        <w:rPr>
          <w:rFonts w:ascii="David" w:hAnsi="David"/>
          <w:b/>
          <w:bCs/>
          <w:rtl/>
        </w:rPr>
      </w:pPr>
      <w:r>
        <w:rPr>
          <w:rFonts w:ascii="David" w:hAnsi="David"/>
          <w:rtl/>
        </w:rPr>
        <w:tab/>
      </w:r>
      <w:r w:rsidRPr="00620557">
        <w:rPr>
          <w:rFonts w:ascii="David" w:hAnsi="David" w:hint="cs"/>
          <w:b/>
          <w:bCs/>
          <w:rtl/>
        </w:rPr>
        <w:t>במילים אחרות תצהיר 2011, שיקף בלשון ברורה את הנאמנות המשתמעת שבין האם לבת (האישה ל</w:t>
      </w:r>
      <w:r w:rsidR="00E94E05">
        <w:rPr>
          <w:rFonts w:ascii="David" w:hAnsi="David" w:hint="cs"/>
          <w:b/>
          <w:bCs/>
          <w:rtl/>
        </w:rPr>
        <w:t>מ</w:t>
      </w:r>
      <w:r w:rsidR="00E94E05">
        <w:rPr>
          <w:rFonts w:ascii="David" w:hAnsi="David"/>
          <w:b/>
          <w:bCs/>
          <w:rtl/>
        </w:rPr>
        <w:t>'</w:t>
      </w:r>
      <w:r w:rsidRPr="00620557">
        <w:rPr>
          <w:rFonts w:ascii="David" w:hAnsi="David" w:hint="cs"/>
          <w:b/>
          <w:bCs/>
          <w:rtl/>
        </w:rPr>
        <w:t xml:space="preserve">) מכוחו של הסכם הגירושין. </w:t>
      </w:r>
    </w:p>
    <w:p w:rsidR="00D513AA" w:rsidRDefault="00D513AA" w:rsidP="00432342">
      <w:pPr>
        <w:spacing w:after="120" w:line="360" w:lineRule="auto"/>
        <w:ind w:left="1440"/>
        <w:jc w:val="both"/>
        <w:rPr>
          <w:rFonts w:ascii="David" w:hAnsi="David"/>
          <w:rtl/>
        </w:rPr>
      </w:pPr>
      <w:r>
        <w:rPr>
          <w:rFonts w:ascii="David" w:hAnsi="David" w:hint="cs"/>
          <w:rtl/>
        </w:rPr>
        <w:lastRenderedPageBreak/>
        <w:t>נאמנות משתמעת זאת גם מלמדת, כי במסגרת הסכם הגירושין, ובמסגרת יחסי האיש והאישה, קיבלה האישה את החנות</w:t>
      </w:r>
      <w:r w:rsidR="006910D6">
        <w:rPr>
          <w:rFonts w:ascii="David" w:hAnsi="David" w:hint="cs"/>
          <w:rtl/>
        </w:rPr>
        <w:t xml:space="preserve"> דנן (והאיש קיבל חנות אחרת בעיר</w:t>
      </w:r>
      <w:r>
        <w:rPr>
          <w:rFonts w:ascii="David" w:hAnsi="David" w:hint="cs"/>
          <w:rtl/>
        </w:rPr>
        <w:t xml:space="preserve">). </w:t>
      </w:r>
    </w:p>
    <w:p w:rsidR="00D513AA" w:rsidRDefault="00D513AA" w:rsidP="00432342">
      <w:pPr>
        <w:spacing w:after="120" w:line="360" w:lineRule="auto"/>
        <w:ind w:left="1440"/>
        <w:jc w:val="both"/>
        <w:rPr>
          <w:rFonts w:ascii="David" w:hAnsi="David"/>
          <w:rtl/>
        </w:rPr>
      </w:pPr>
      <w:r>
        <w:rPr>
          <w:rFonts w:ascii="David" w:hAnsi="David" w:hint="cs"/>
          <w:rtl/>
        </w:rPr>
        <w:t xml:space="preserve">לכן גם לאורך השנים התעניינה האישה שוב ושוב במשרדי עמידר מדוע טרם נרשמה החנות על שם האיש, דבר שיאפשר השלמת העברת הזכויות בחנות על שמה (או על שם הבת, כנאמנת שלה) </w:t>
      </w:r>
      <w:r>
        <w:rPr>
          <w:rFonts w:ascii="David" w:hAnsi="David"/>
          <w:rtl/>
        </w:rPr>
        <w:t>–</w:t>
      </w:r>
      <w:r>
        <w:rPr>
          <w:rFonts w:ascii="David" w:hAnsi="David" w:hint="cs"/>
          <w:rtl/>
        </w:rPr>
        <w:t xml:space="preserve"> (ראו בנדון עדותו של מר אבי סעיד נציג חברת עמידר, בה מתנהל רישום הזכויות של החנות, שהעיד כי לאורך השנים האישה ביקרה במשרדי עמידר עשרות פעמים </w:t>
      </w:r>
      <w:r>
        <w:rPr>
          <w:rFonts w:ascii="David" w:hAnsi="David"/>
          <w:rtl/>
        </w:rPr>
        <w:t>–</w:t>
      </w:r>
      <w:r>
        <w:rPr>
          <w:rFonts w:ascii="David" w:hAnsi="David" w:hint="cs"/>
          <w:rtl/>
        </w:rPr>
        <w:t xml:space="preserve"> עמ' 4 לפרו' שו' 17-26; עמ' 5 לפרו' שו' 1-3);</w:t>
      </w:r>
    </w:p>
    <w:p w:rsidR="00D513AA" w:rsidRPr="00620557" w:rsidRDefault="00D513AA" w:rsidP="00432342">
      <w:pPr>
        <w:spacing w:after="120" w:line="360" w:lineRule="auto"/>
        <w:ind w:left="1440"/>
        <w:jc w:val="both"/>
        <w:rPr>
          <w:rFonts w:ascii="David" w:hAnsi="David"/>
          <w:b/>
          <w:bCs/>
          <w:rtl/>
        </w:rPr>
      </w:pPr>
      <w:r w:rsidRPr="00620557">
        <w:rPr>
          <w:rFonts w:ascii="David" w:hAnsi="David" w:hint="cs"/>
          <w:b/>
          <w:bCs/>
          <w:rtl/>
        </w:rPr>
        <w:t>עובדה זאת מלמדת על זיקה של ממש בין החנות לאישה</w:t>
      </w:r>
      <w:r>
        <w:rPr>
          <w:rFonts w:ascii="David" w:hAnsi="David" w:hint="cs"/>
          <w:rtl/>
        </w:rPr>
        <w:t xml:space="preserve"> </w:t>
      </w:r>
      <w:r w:rsidRPr="00620557">
        <w:rPr>
          <w:rFonts w:ascii="David" w:hAnsi="David" w:hint="cs"/>
          <w:b/>
          <w:bCs/>
          <w:rtl/>
        </w:rPr>
        <w:t>לכל אורך השנים שמאז חתימת הסכם הגירושין</w:t>
      </w:r>
      <w:r>
        <w:rPr>
          <w:rFonts w:ascii="David" w:hAnsi="David" w:hint="cs"/>
          <w:rtl/>
        </w:rPr>
        <w:t>.</w:t>
      </w:r>
      <w:r w:rsidRPr="00620557">
        <w:rPr>
          <w:rFonts w:ascii="David" w:hAnsi="David" w:hint="cs"/>
          <w:b/>
          <w:bCs/>
          <w:rtl/>
        </w:rPr>
        <w:t xml:space="preserve">  </w:t>
      </w:r>
    </w:p>
    <w:p w:rsidR="00D513AA" w:rsidRDefault="00D513AA" w:rsidP="00432342">
      <w:pPr>
        <w:spacing w:after="120" w:line="360" w:lineRule="auto"/>
        <w:ind w:left="1440"/>
        <w:jc w:val="both"/>
        <w:rPr>
          <w:rFonts w:ascii="David" w:hAnsi="David"/>
          <w:rtl/>
        </w:rPr>
      </w:pPr>
      <w:r>
        <w:rPr>
          <w:rFonts w:ascii="David" w:hAnsi="David" w:hint="cs"/>
          <w:rtl/>
        </w:rPr>
        <w:t xml:space="preserve">ניסיונה של </w:t>
      </w:r>
      <w:r w:rsidR="00E94E05">
        <w:rPr>
          <w:rFonts w:ascii="David" w:hAnsi="David" w:hint="cs"/>
          <w:rtl/>
        </w:rPr>
        <w:t>מ</w:t>
      </w:r>
      <w:r w:rsidR="00E94E05">
        <w:rPr>
          <w:rFonts w:ascii="David" w:hAnsi="David"/>
          <w:rtl/>
        </w:rPr>
        <w:t>'</w:t>
      </w:r>
      <w:r>
        <w:rPr>
          <w:rFonts w:ascii="David" w:hAnsi="David" w:hint="cs"/>
          <w:rtl/>
        </w:rPr>
        <w:t xml:space="preserve"> כיום "לחמוק" מתצהיר 2011 בטענות שונות (דוגמת לא הבינה התצהיר לאשורו; התכוונה רק לסחורה שבחנות ולא לזכויות הקנין של החנות), נדחה על ידי השופטת קמא בפסק הדין (כמוזכר לעיל) ובצדק. </w:t>
      </w:r>
    </w:p>
    <w:p w:rsidR="00D513AA" w:rsidRDefault="00D513AA" w:rsidP="00432342">
      <w:pPr>
        <w:spacing w:after="120" w:line="360" w:lineRule="auto"/>
        <w:ind w:left="1440"/>
        <w:jc w:val="both"/>
        <w:rPr>
          <w:rFonts w:ascii="David" w:hAnsi="David"/>
          <w:rtl/>
        </w:rPr>
      </w:pPr>
      <w:r w:rsidRPr="00601F36">
        <w:rPr>
          <w:rFonts w:ascii="David" w:hAnsi="David"/>
          <w:rtl/>
        </w:rPr>
        <w:t>כפי שנקבע מימים ימימה, חזקה על אדם שחתם על מסמך כי הוא קרא אותו בטרם חתם עליו, הבי</w:t>
      </w:r>
      <w:r>
        <w:rPr>
          <w:rFonts w:ascii="David" w:hAnsi="David"/>
          <w:rtl/>
        </w:rPr>
        <w:t>ן את תוכנו ונתן הסכמתו לאמור בו</w:t>
      </w:r>
      <w:r>
        <w:rPr>
          <w:rFonts w:ascii="David" w:hAnsi="David" w:hint="cs"/>
          <w:rtl/>
        </w:rPr>
        <w:t>,</w:t>
      </w:r>
      <w:r w:rsidRPr="00601F36">
        <w:rPr>
          <w:rFonts w:ascii="David" w:hAnsi="David"/>
          <w:rtl/>
        </w:rPr>
        <w:t xml:space="preserve"> וחזקה זו חלה ביתר שאת בחתימה על</w:t>
      </w:r>
      <w:r>
        <w:rPr>
          <w:rFonts w:ascii="David" w:hAnsi="David"/>
          <w:rtl/>
        </w:rPr>
        <w:t xml:space="preserve"> מסמכים מהותיים </w:t>
      </w:r>
      <w:r>
        <w:rPr>
          <w:rFonts w:ascii="David" w:hAnsi="David" w:hint="cs"/>
          <w:rtl/>
        </w:rPr>
        <w:t xml:space="preserve">דוגמת תצהיר. </w:t>
      </w:r>
    </w:p>
    <w:p w:rsidR="00D513AA" w:rsidRDefault="00D513AA" w:rsidP="00432342">
      <w:pPr>
        <w:spacing w:after="120" w:line="360" w:lineRule="auto"/>
        <w:ind w:left="1440"/>
        <w:jc w:val="both"/>
        <w:rPr>
          <w:rFonts w:ascii="David" w:hAnsi="David"/>
          <w:rtl/>
        </w:rPr>
      </w:pPr>
      <w:r w:rsidRPr="00601F36">
        <w:rPr>
          <w:rFonts w:ascii="David" w:hAnsi="David" w:hint="cs"/>
          <w:u w:val="single"/>
          <w:rtl/>
        </w:rPr>
        <w:t>ראו לענין זה</w:t>
      </w:r>
      <w:r>
        <w:rPr>
          <w:rFonts w:ascii="David" w:hAnsi="David" w:hint="cs"/>
          <w:rtl/>
        </w:rPr>
        <w:t>:</w:t>
      </w:r>
    </w:p>
    <w:p w:rsidR="00D513AA" w:rsidRPr="008C34C9" w:rsidRDefault="00D513AA" w:rsidP="00432342">
      <w:pPr>
        <w:spacing w:after="120" w:line="360" w:lineRule="auto"/>
        <w:ind w:left="720" w:firstLine="720"/>
        <w:rPr>
          <w:rFonts w:ascii="David" w:hAnsi="David"/>
          <w:rtl/>
        </w:rPr>
      </w:pPr>
      <w:r w:rsidRPr="008C34C9">
        <w:rPr>
          <w:rFonts w:ascii="David" w:hAnsi="David"/>
          <w:rtl/>
        </w:rPr>
        <w:t xml:space="preserve">ע"א 2609/23 ‏ </w:t>
      </w:r>
      <w:r w:rsidRPr="008C34C9">
        <w:rPr>
          <w:rFonts w:ascii="David" w:hAnsi="David"/>
          <w:b/>
          <w:bCs/>
          <w:rtl/>
        </w:rPr>
        <w:t>לאה עמר נ' גיא נצר מנהל מיוחד</w:t>
      </w:r>
      <w:r w:rsidRPr="008C34C9">
        <w:rPr>
          <w:rFonts w:ascii="David" w:hAnsi="David" w:hint="cs"/>
          <w:rtl/>
        </w:rPr>
        <w:t>, פסקה 14</w:t>
      </w:r>
      <w:r w:rsidRPr="008C34C9">
        <w:rPr>
          <w:rFonts w:ascii="David" w:hAnsi="David"/>
          <w:rtl/>
        </w:rPr>
        <w:t xml:space="preserve"> (28.11.2023)</w:t>
      </w:r>
      <w:r w:rsidRPr="008C34C9">
        <w:rPr>
          <w:rFonts w:ascii="David" w:hAnsi="David" w:hint="cs"/>
          <w:rtl/>
        </w:rPr>
        <w:t>;</w:t>
      </w:r>
    </w:p>
    <w:p w:rsidR="00D513AA" w:rsidRPr="008C34C9" w:rsidRDefault="00D513AA" w:rsidP="00432342">
      <w:pPr>
        <w:spacing w:after="120" w:line="360" w:lineRule="auto"/>
        <w:ind w:left="1440"/>
        <w:rPr>
          <w:rFonts w:ascii="David" w:hAnsi="David"/>
          <w:rtl/>
        </w:rPr>
      </w:pPr>
      <w:r w:rsidRPr="008C34C9">
        <w:rPr>
          <w:rFonts w:ascii="David" w:hAnsi="David"/>
          <w:rtl/>
        </w:rPr>
        <w:t xml:space="preserve">ע"א 6952/21 </w:t>
      </w:r>
      <w:r w:rsidRPr="008C34C9">
        <w:rPr>
          <w:rFonts w:ascii="David" w:hAnsi="David"/>
          <w:b/>
          <w:bCs/>
          <w:rtl/>
        </w:rPr>
        <w:t>שירה וילנצ'וק נ' שמעון יוחאי חן</w:t>
      </w:r>
      <w:r w:rsidRPr="008C34C9">
        <w:rPr>
          <w:rFonts w:ascii="David" w:hAnsi="David" w:hint="cs"/>
          <w:rtl/>
        </w:rPr>
        <w:t>, פסקה 30</w:t>
      </w:r>
      <w:r w:rsidRPr="008C34C9">
        <w:rPr>
          <w:rFonts w:ascii="David" w:hAnsi="David"/>
          <w:rtl/>
        </w:rPr>
        <w:t xml:space="preserve"> (22.10.2023)</w:t>
      </w:r>
      <w:r w:rsidRPr="008C34C9">
        <w:rPr>
          <w:rFonts w:ascii="David" w:hAnsi="David" w:hint="cs"/>
          <w:rtl/>
        </w:rPr>
        <w:t>.</w:t>
      </w:r>
      <w:r w:rsidRPr="008C34C9">
        <w:rPr>
          <w:rFonts w:ascii="David" w:hAnsi="David"/>
          <w:rtl/>
        </w:rPr>
        <w:t xml:space="preserve"> </w:t>
      </w:r>
    </w:p>
    <w:p w:rsidR="00D513AA" w:rsidRDefault="00D513AA" w:rsidP="00432342">
      <w:pPr>
        <w:spacing w:after="120" w:line="360" w:lineRule="auto"/>
        <w:ind w:left="1440"/>
        <w:jc w:val="both"/>
        <w:rPr>
          <w:rFonts w:ascii="David" w:hAnsi="David"/>
          <w:rtl/>
        </w:rPr>
      </w:pPr>
      <w:r>
        <w:rPr>
          <w:rFonts w:ascii="David" w:hAnsi="David" w:hint="cs"/>
          <w:rtl/>
        </w:rPr>
        <w:t xml:space="preserve">נזכיר כי בעת חתימת תצהיר 2011 הייתה </w:t>
      </w:r>
      <w:r w:rsidR="00E94E05">
        <w:rPr>
          <w:rFonts w:ascii="David" w:hAnsi="David" w:hint="cs"/>
          <w:rtl/>
        </w:rPr>
        <w:t>מ</w:t>
      </w:r>
      <w:r w:rsidR="00E94E05">
        <w:rPr>
          <w:rFonts w:ascii="David" w:hAnsi="David"/>
          <w:rtl/>
        </w:rPr>
        <w:t>'</w:t>
      </w:r>
      <w:r>
        <w:rPr>
          <w:rFonts w:ascii="David" w:hAnsi="David" w:hint="cs"/>
          <w:rtl/>
        </w:rPr>
        <w:t xml:space="preserve"> כבת 22 שנים, נש</w:t>
      </w:r>
      <w:r w:rsidR="006910D6">
        <w:rPr>
          <w:rFonts w:ascii="David" w:hAnsi="David" w:hint="cs"/>
          <w:rtl/>
        </w:rPr>
        <w:t>ואה, למדה מקצוע</w:t>
      </w:r>
      <w:r>
        <w:rPr>
          <w:rFonts w:ascii="David" w:hAnsi="David" w:hint="cs"/>
          <w:rtl/>
        </w:rPr>
        <w:t xml:space="preserve"> וסיימה שליש תואר ראשון. היא קוראת עברית, וקראה את התצהיר לפני שחתמה עליו (עמ' 85 לפרו' שו' 16-22; </w:t>
      </w:r>
      <w:r w:rsidRPr="004D0EEC">
        <w:rPr>
          <w:rFonts w:ascii="David" w:hAnsi="David" w:hint="cs"/>
          <w:rtl/>
        </w:rPr>
        <w:t>פרוטוקול סעד זמני עמ' 7 לפרו' שו' 32-33).</w:t>
      </w:r>
    </w:p>
    <w:p w:rsidR="00D513AA" w:rsidRDefault="00D513AA" w:rsidP="00432342">
      <w:pPr>
        <w:spacing w:after="120" w:line="360" w:lineRule="auto"/>
        <w:ind w:left="1440"/>
        <w:jc w:val="both"/>
        <w:rPr>
          <w:rFonts w:ascii="David" w:hAnsi="David"/>
          <w:rtl/>
        </w:rPr>
      </w:pPr>
      <w:r w:rsidRPr="00C26240">
        <w:rPr>
          <w:rFonts w:ascii="David" w:hAnsi="David" w:hint="cs"/>
          <w:b/>
          <w:bCs/>
          <w:rtl/>
        </w:rPr>
        <w:lastRenderedPageBreak/>
        <w:t>לכן יש ליתן לתצהיר 2011 משקל משמעותי בהוכחת הנאמנות המשתמעת</w:t>
      </w:r>
      <w:r>
        <w:rPr>
          <w:rFonts w:ascii="David" w:hAnsi="David" w:hint="cs"/>
          <w:rtl/>
        </w:rPr>
        <w:t xml:space="preserve">, תוך הדגשה כי תצהיר 2021 נועד לשלול מהאישה מה שכבר ניתן לה בהסכם הגירושין שאושר, והינו חלוט. לכן משקלו פחוּת עד אפסי. </w:t>
      </w:r>
    </w:p>
    <w:p w:rsidR="00D513AA" w:rsidRDefault="00D513AA" w:rsidP="00432342">
      <w:pPr>
        <w:spacing w:after="120" w:line="360" w:lineRule="auto"/>
        <w:ind w:left="1440"/>
        <w:jc w:val="both"/>
        <w:rPr>
          <w:rFonts w:ascii="David" w:hAnsi="David"/>
          <w:rtl/>
        </w:rPr>
      </w:pPr>
      <w:r w:rsidRPr="00601F36">
        <w:rPr>
          <w:rFonts w:ascii="David" w:hAnsi="David" w:hint="cs"/>
          <w:u w:val="single"/>
          <w:rtl/>
        </w:rPr>
        <w:t>השופטת קמא עמדה גם על כך בפסק הדין ובצדק, בציינה, בסעיף 11.2, כי</w:t>
      </w:r>
      <w:r>
        <w:rPr>
          <w:rFonts w:ascii="David" w:hAnsi="David" w:hint="cs"/>
          <w:rtl/>
        </w:rPr>
        <w:t>:</w:t>
      </w:r>
    </w:p>
    <w:p w:rsidR="00D513AA" w:rsidRPr="00601F36" w:rsidRDefault="00D513AA" w:rsidP="00432342">
      <w:pPr>
        <w:spacing w:after="120" w:line="360" w:lineRule="auto"/>
        <w:ind w:left="2160" w:right="851"/>
        <w:jc w:val="both"/>
        <w:rPr>
          <w:rFonts w:ascii="David" w:hAnsi="David"/>
          <w:b/>
          <w:bCs/>
          <w:rtl/>
        </w:rPr>
      </w:pPr>
      <w:r>
        <w:rPr>
          <w:rFonts w:ascii="David" w:hAnsi="David" w:hint="cs"/>
          <w:b/>
          <w:bCs/>
          <w:rtl/>
        </w:rPr>
        <w:t>"</w:t>
      </w:r>
      <w:r w:rsidRPr="00601F36">
        <w:rPr>
          <w:rFonts w:ascii="David" w:hAnsi="David"/>
          <w:b/>
          <w:bCs/>
          <w:rtl/>
        </w:rPr>
        <w:t>הנכס לא היה של הנתבעת – עפ"י הצהרתה – אלא של אמה, והוא אינו שלה כדי להעבירו לאביה.</w:t>
      </w:r>
    </w:p>
    <w:p w:rsidR="00D513AA" w:rsidRDefault="00D513AA" w:rsidP="00432342">
      <w:pPr>
        <w:spacing w:after="120" w:line="360" w:lineRule="auto"/>
        <w:ind w:left="2160" w:right="851"/>
        <w:jc w:val="both"/>
        <w:rPr>
          <w:rFonts w:ascii="David" w:hAnsi="David"/>
          <w:b/>
          <w:bCs/>
          <w:rtl/>
        </w:rPr>
      </w:pPr>
      <w:r w:rsidRPr="00601F36">
        <w:rPr>
          <w:rFonts w:ascii="David" w:hAnsi="David"/>
          <w:b/>
          <w:bCs/>
          <w:rtl/>
        </w:rPr>
        <w:t>לכן, התצהיר עליו חתמה הנתבעת בשנת 2021 חסר כל משמעות משפטית, שכן הנכס לא היה שייך לנתבעת והיא לא יכולה להעביר לאיש דבר שאינו שלה".</w:t>
      </w:r>
    </w:p>
    <w:p w:rsidR="00D513AA" w:rsidRDefault="00D513AA" w:rsidP="00432342">
      <w:pPr>
        <w:spacing w:after="120" w:line="360" w:lineRule="auto"/>
        <w:ind w:left="720" w:hanging="720"/>
        <w:jc w:val="both"/>
        <w:rPr>
          <w:rFonts w:ascii="David" w:hAnsi="David"/>
          <w:rtl/>
        </w:rPr>
      </w:pPr>
      <w:r>
        <w:rPr>
          <w:rFonts w:ascii="David" w:hAnsi="David" w:hint="cs"/>
          <w:rtl/>
        </w:rPr>
        <w:t>44.</w:t>
      </w:r>
      <w:r>
        <w:rPr>
          <w:rFonts w:ascii="David" w:hAnsi="David" w:hint="cs"/>
          <w:rtl/>
        </w:rPr>
        <w:tab/>
        <w:t xml:space="preserve">במצב עובדתי ומשפטי זה, אבחן כעת את טענת המערערים, כי פסק הדין "חוטא" ללשונו הברורה של הסכם הגירושין, שם בעלת הזכויות המוזכרת היא </w:t>
      </w:r>
      <w:r w:rsidR="00E94E05">
        <w:rPr>
          <w:rFonts w:ascii="David" w:hAnsi="David" w:hint="cs"/>
          <w:rtl/>
        </w:rPr>
        <w:t>מ</w:t>
      </w:r>
      <w:r w:rsidR="00E94E05">
        <w:rPr>
          <w:rFonts w:ascii="David" w:hAnsi="David"/>
          <w:rtl/>
        </w:rPr>
        <w:t>'</w:t>
      </w:r>
      <w:r>
        <w:rPr>
          <w:rFonts w:ascii="David" w:hAnsi="David" w:hint="cs"/>
          <w:rtl/>
        </w:rPr>
        <w:t xml:space="preserve"> ולא האישה.</w:t>
      </w:r>
    </w:p>
    <w:p w:rsidR="00D20FE4" w:rsidRDefault="00D513AA" w:rsidP="006D4AC5">
      <w:pPr>
        <w:spacing w:after="120" w:line="360" w:lineRule="auto"/>
        <w:ind w:left="720" w:hanging="720"/>
        <w:jc w:val="both"/>
        <w:rPr>
          <w:rFonts w:ascii="David" w:hAnsi="David"/>
          <w:b/>
          <w:bCs/>
          <w:rtl/>
        </w:rPr>
      </w:pPr>
      <w:r>
        <w:rPr>
          <w:rFonts w:ascii="David" w:hAnsi="David"/>
          <w:rtl/>
        </w:rPr>
        <w:tab/>
      </w:r>
      <w:r w:rsidRPr="00601F36">
        <w:rPr>
          <w:rFonts w:ascii="David" w:hAnsi="David" w:hint="cs"/>
          <w:b/>
          <w:bCs/>
          <w:rtl/>
        </w:rPr>
        <w:t>אקדים ואומר כי שוכנעתי לדחות טענה זאת של המערער</w:t>
      </w:r>
      <w:r>
        <w:rPr>
          <w:rFonts w:ascii="David" w:hAnsi="David" w:hint="cs"/>
          <w:b/>
          <w:bCs/>
          <w:rtl/>
        </w:rPr>
        <w:t>ים.</w:t>
      </w:r>
    </w:p>
    <w:p w:rsidR="00D513AA" w:rsidRDefault="00D513AA" w:rsidP="00432342">
      <w:pPr>
        <w:spacing w:after="120" w:line="360" w:lineRule="auto"/>
        <w:ind w:left="720" w:hanging="720"/>
        <w:jc w:val="both"/>
        <w:rPr>
          <w:rFonts w:ascii="David" w:hAnsi="David"/>
          <w:rtl/>
        </w:rPr>
      </w:pPr>
      <w:r>
        <w:rPr>
          <w:rFonts w:ascii="David" w:hAnsi="David" w:hint="cs"/>
          <w:rtl/>
        </w:rPr>
        <w:t>45.</w:t>
      </w:r>
      <w:r>
        <w:rPr>
          <w:rFonts w:ascii="David" w:hAnsi="David" w:hint="cs"/>
          <w:rtl/>
        </w:rPr>
        <w:tab/>
      </w:r>
      <w:r w:rsidRPr="00501A09">
        <w:rPr>
          <w:rFonts w:ascii="David" w:hAnsi="David" w:hint="cs"/>
          <w:u w:val="single"/>
          <w:rtl/>
        </w:rPr>
        <w:t>סעיף  25(א) לחוק החוזים קובע כדלקמן</w:t>
      </w:r>
      <w:r>
        <w:rPr>
          <w:rFonts w:ascii="David" w:hAnsi="David" w:hint="cs"/>
          <w:rtl/>
        </w:rPr>
        <w:t>:</w:t>
      </w:r>
    </w:p>
    <w:p w:rsidR="00D513AA" w:rsidRDefault="00D513AA" w:rsidP="00432342">
      <w:pPr>
        <w:spacing w:after="120" w:line="360" w:lineRule="auto"/>
        <w:ind w:left="1440" w:right="851"/>
        <w:jc w:val="both"/>
        <w:rPr>
          <w:rFonts w:ascii="David" w:hAnsi="David"/>
          <w:b/>
          <w:bCs/>
          <w:rtl/>
        </w:rPr>
      </w:pPr>
      <w:r>
        <w:rPr>
          <w:rFonts w:ascii="David" w:hAnsi="David" w:hint="cs"/>
          <w:b/>
          <w:bCs/>
          <w:rtl/>
        </w:rPr>
        <w:t>"</w:t>
      </w:r>
      <w:r w:rsidRPr="00501A09">
        <w:rPr>
          <w:rFonts w:ascii="David" w:hAnsi="David"/>
          <w:b/>
          <w:bCs/>
          <w:rtl/>
        </w:rPr>
        <w:t>חוזה יפורש לפי אומד דעתם של הצדדים, כפי שהוא משתמע מתוך החוזה ומנסיבות העניין, ואולם אם אומד דעתם של הצדדים משתמע במפורש מלשון החוזה, יפורש החוזה בהתאם ללשונו</w:t>
      </w:r>
      <w:r>
        <w:rPr>
          <w:rFonts w:ascii="David" w:hAnsi="David" w:hint="cs"/>
          <w:b/>
          <w:bCs/>
          <w:rtl/>
        </w:rPr>
        <w:t>"</w:t>
      </w:r>
      <w:r w:rsidRPr="00501A09">
        <w:rPr>
          <w:rFonts w:ascii="David" w:hAnsi="David"/>
          <w:b/>
          <w:bCs/>
          <w:rtl/>
        </w:rPr>
        <w:t>.</w:t>
      </w:r>
    </w:p>
    <w:p w:rsidR="00D513AA" w:rsidRDefault="00D513AA" w:rsidP="00432342">
      <w:pPr>
        <w:spacing w:after="120" w:line="360" w:lineRule="auto"/>
        <w:ind w:left="720"/>
        <w:jc w:val="both"/>
        <w:rPr>
          <w:rFonts w:ascii="David" w:hAnsi="David"/>
          <w:b/>
          <w:bCs/>
          <w:rtl/>
        </w:rPr>
      </w:pPr>
      <w:r>
        <w:rPr>
          <w:rFonts w:ascii="David" w:hAnsi="David" w:hint="cs"/>
          <w:rtl/>
        </w:rPr>
        <w:t>אכן ללשונו של החוזה עדיפות פרשנית, ובלבד ש</w:t>
      </w:r>
      <w:r>
        <w:rPr>
          <w:rFonts w:ascii="David" w:hAnsi="David" w:hint="cs"/>
          <w:b/>
          <w:bCs/>
          <w:rtl/>
        </w:rPr>
        <w:t>"אומד דעתם של הצדדים משתמע במפורש מלשון החוזה".</w:t>
      </w:r>
    </w:p>
    <w:p w:rsidR="00D513AA" w:rsidRDefault="00D513AA" w:rsidP="00432342">
      <w:pPr>
        <w:spacing w:after="120" w:line="360" w:lineRule="auto"/>
        <w:ind w:left="720"/>
        <w:jc w:val="both"/>
        <w:rPr>
          <w:rFonts w:ascii="David" w:hAnsi="David"/>
          <w:rtl/>
        </w:rPr>
      </w:pPr>
      <w:r w:rsidRPr="00601F36">
        <w:rPr>
          <w:rFonts w:ascii="David" w:hAnsi="David" w:hint="cs"/>
          <w:rtl/>
        </w:rPr>
        <w:t>משאין הדבר כך, יש לפרש החוזה</w:t>
      </w:r>
      <w:r>
        <w:rPr>
          <w:rFonts w:ascii="David" w:hAnsi="David" w:hint="cs"/>
          <w:rtl/>
        </w:rPr>
        <w:t xml:space="preserve"> "</w:t>
      </w:r>
      <w:r w:rsidRPr="00501A09">
        <w:rPr>
          <w:rFonts w:ascii="David" w:hAnsi="David"/>
          <w:b/>
          <w:bCs/>
          <w:rtl/>
        </w:rPr>
        <w:t>לפי אומד דעתם של הצדדים, כפי שהוא משתמע מתוך החוזה ומנסיבות העניין</w:t>
      </w:r>
      <w:r>
        <w:rPr>
          <w:rFonts w:ascii="David" w:hAnsi="David" w:hint="cs"/>
          <w:rtl/>
        </w:rPr>
        <w:t>"</w:t>
      </w:r>
      <w:r>
        <w:rPr>
          <w:rFonts w:ascii="David" w:hAnsi="David" w:hint="cs"/>
          <w:b/>
          <w:bCs/>
          <w:rtl/>
        </w:rPr>
        <w:t>.</w:t>
      </w:r>
      <w:r w:rsidRPr="00601F36">
        <w:rPr>
          <w:rFonts w:ascii="David" w:hAnsi="David" w:hint="cs"/>
          <w:rtl/>
        </w:rPr>
        <w:t xml:space="preserve"> </w:t>
      </w:r>
    </w:p>
    <w:p w:rsidR="00D513AA" w:rsidRDefault="00D513AA" w:rsidP="00432342">
      <w:pPr>
        <w:spacing w:after="120" w:line="360" w:lineRule="auto"/>
        <w:ind w:left="720"/>
        <w:jc w:val="both"/>
        <w:rPr>
          <w:rFonts w:ascii="David" w:hAnsi="David"/>
          <w:rtl/>
        </w:rPr>
      </w:pPr>
      <w:r w:rsidRPr="00C26240">
        <w:rPr>
          <w:rFonts w:ascii="David" w:hAnsi="David" w:hint="cs"/>
          <w:u w:val="single"/>
          <w:rtl/>
        </w:rPr>
        <w:t>בית המשפט ב</w:t>
      </w:r>
      <w:r>
        <w:rPr>
          <w:rFonts w:ascii="David" w:hAnsi="David" w:hint="cs"/>
          <w:u w:val="single"/>
          <w:rtl/>
        </w:rPr>
        <w:t>-</w:t>
      </w:r>
      <w:r w:rsidRPr="00C26240">
        <w:rPr>
          <w:rFonts w:ascii="David" w:hAnsi="David"/>
          <w:u w:val="single"/>
          <w:rtl/>
        </w:rPr>
        <w:t>ע"א 839</w:t>
      </w:r>
      <w:r w:rsidRPr="00C26240">
        <w:rPr>
          <w:rFonts w:ascii="David" w:hAnsi="David" w:hint="cs"/>
          <w:u w:val="single"/>
          <w:rtl/>
        </w:rPr>
        <w:t>/</w:t>
      </w:r>
      <w:r w:rsidRPr="00C26240">
        <w:rPr>
          <w:rFonts w:ascii="David" w:hAnsi="David"/>
          <w:u w:val="single"/>
          <w:rtl/>
        </w:rPr>
        <w:t xml:space="preserve">21 </w:t>
      </w:r>
      <w:r w:rsidRPr="00C26240">
        <w:rPr>
          <w:rFonts w:ascii="David" w:hAnsi="David"/>
          <w:b/>
          <w:bCs/>
          <w:u w:val="single"/>
          <w:rtl/>
        </w:rPr>
        <w:t>חיה הקר נ' חברת קלמטיס אוברסיז בע"מ</w:t>
      </w:r>
      <w:r w:rsidRPr="00C26240">
        <w:rPr>
          <w:rFonts w:ascii="David" w:hAnsi="David" w:hint="cs"/>
          <w:u w:val="single"/>
          <w:rtl/>
        </w:rPr>
        <w:t>, פסקה 5 (6.3.2024), עמד על כללי פרשנות חוזה, כעולה מסעיף 25(א) לחוק החוזים, בלשון הבאה</w:t>
      </w:r>
      <w:r>
        <w:rPr>
          <w:rFonts w:ascii="David" w:hAnsi="David" w:hint="cs"/>
          <w:rtl/>
        </w:rPr>
        <w:t>:</w:t>
      </w:r>
    </w:p>
    <w:p w:rsidR="00D513AA" w:rsidRDefault="00D513AA" w:rsidP="00432342">
      <w:pPr>
        <w:spacing w:after="120" w:line="360" w:lineRule="auto"/>
        <w:ind w:left="1440" w:right="567"/>
        <w:jc w:val="both"/>
        <w:rPr>
          <w:rFonts w:ascii="David" w:hAnsi="David"/>
          <w:b/>
          <w:bCs/>
          <w:rtl/>
        </w:rPr>
      </w:pPr>
      <w:r w:rsidRPr="00272EDE">
        <w:rPr>
          <w:rFonts w:ascii="David" w:hAnsi="David" w:hint="cs"/>
          <w:b/>
          <w:bCs/>
          <w:rtl/>
        </w:rPr>
        <w:lastRenderedPageBreak/>
        <w:t>"</w:t>
      </w:r>
      <w:r>
        <w:rPr>
          <w:rFonts w:ascii="David" w:hAnsi="David" w:hint="cs"/>
          <w:b/>
          <w:bCs/>
          <w:rtl/>
        </w:rPr>
        <w:t>...</w:t>
      </w:r>
      <w:r w:rsidRPr="00272EDE">
        <w:rPr>
          <w:rFonts w:ascii="David" w:hAnsi="David"/>
          <w:b/>
          <w:bCs/>
          <w:rtl/>
        </w:rPr>
        <w:t xml:space="preserve">ענייננו, אפוא, בהתחקות אחר אומד דעתם של הצדדים במועד כריתת הסכם המכר. כידוע, נקודת המוצא לפרשנות היא לשון החוזה. יש והלשון מפורשת וברורה דיה באופן שניתן להבין ממנה את אומד דעתם של הצדדים. זה נלמד לא רק מלשונה של תנייה בודדת, היא ההוראה הטעונה פירוש, אלא מלשון החוזה כולו, על מכלול הוראותיו </w:t>
      </w:r>
      <w:r w:rsidRPr="00272EDE">
        <w:rPr>
          <w:rFonts w:ascii="David" w:hAnsi="David" w:hint="cs"/>
          <w:b/>
          <w:bCs/>
          <w:rtl/>
        </w:rPr>
        <w:t>...</w:t>
      </w:r>
      <w:r w:rsidRPr="00272EDE">
        <w:rPr>
          <w:rFonts w:ascii="David" w:hAnsi="David"/>
          <w:b/>
          <w:bCs/>
          <w:rtl/>
        </w:rPr>
        <w:t xml:space="preserve"> רק במקרים בהם הלשון אינה מגלה מסקנה חד משמעית, למשל, כאשר היא יכולה לשאת פירושים שונים – נדרש בית המשפט לבחון גם את הנסיבות החיצוניות שאפפו את כריתת החוזה (סעיף 25 לחוק החוזים (חלק כללי), התשל"ג-1973.</w:t>
      </w:r>
      <w:r w:rsidRPr="00272EDE">
        <w:rPr>
          <w:rFonts w:ascii="David" w:hAnsi="David" w:hint="cs"/>
          <w:b/>
          <w:bCs/>
          <w:rtl/>
        </w:rPr>
        <w:t>..</w:t>
      </w:r>
      <w:r w:rsidRPr="00272EDE">
        <w:rPr>
          <w:rFonts w:ascii="David" w:hAnsi="David"/>
          <w:b/>
          <w:bCs/>
          <w:rtl/>
        </w:rPr>
        <w:t xml:space="preserve"> ככל שלא ניתן לאתר גם באמצעות מקורות אלה את אומד דעתם הסובייקטיבי של הצדדים לחוזה, עשוי בית המשפט להידרש לתכלית האובייקטיבית של החוזה – היא הכוונה ההיפותטית של הצדדים כאנשים סבירים, בהתחשב, בין היתר, במטרת החוזה ובאופיו</w:t>
      </w:r>
      <w:r w:rsidRPr="00272EDE">
        <w:rPr>
          <w:rFonts w:ascii="David" w:hAnsi="David" w:hint="cs"/>
          <w:b/>
          <w:bCs/>
          <w:rtl/>
        </w:rPr>
        <w:t>..."</w:t>
      </w:r>
      <w:r>
        <w:rPr>
          <w:rFonts w:ascii="David" w:hAnsi="David" w:hint="cs"/>
          <w:b/>
          <w:bCs/>
          <w:rtl/>
        </w:rPr>
        <w:t>.</w:t>
      </w:r>
    </w:p>
    <w:p w:rsidR="00D513AA" w:rsidRDefault="00D513AA" w:rsidP="00432342">
      <w:pPr>
        <w:spacing w:after="120" w:line="360" w:lineRule="auto"/>
        <w:ind w:left="720"/>
        <w:jc w:val="both"/>
        <w:rPr>
          <w:rFonts w:ascii="David" w:hAnsi="David"/>
          <w:b/>
          <w:bCs/>
          <w:rtl/>
        </w:rPr>
      </w:pPr>
      <w:r w:rsidRPr="00C26240">
        <w:rPr>
          <w:rFonts w:ascii="David" w:hAnsi="David" w:hint="cs"/>
          <w:b/>
          <w:bCs/>
          <w:u w:val="single"/>
          <w:rtl/>
        </w:rPr>
        <w:t>במקרה דנן שוכנעתי, כי לשון הסכם הגירושין כולו</w:t>
      </w:r>
      <w:r>
        <w:rPr>
          <w:rFonts w:ascii="David" w:hAnsi="David" w:hint="cs"/>
          <w:rtl/>
        </w:rPr>
        <w:t xml:space="preserve"> [</w:t>
      </w:r>
      <w:r w:rsidR="009A3EF5">
        <w:rPr>
          <w:rFonts w:ascii="David" w:hAnsi="David" w:hint="cs"/>
          <w:rtl/>
        </w:rPr>
        <w:t>כשמחד גיסא מעניק חנות אחרת בעיר</w:t>
      </w:r>
      <w:r>
        <w:rPr>
          <w:rFonts w:ascii="David" w:hAnsi="David" w:hint="cs"/>
          <w:rtl/>
        </w:rPr>
        <w:t xml:space="preserve"> לאיש, ומאידך גיסא מעניק לאישה הזכות לקבוע על שם מי תירשם החנות דנן (והיא קבעה כי תירשם על שם בתה </w:t>
      </w:r>
      <w:r w:rsidR="00E94E05">
        <w:rPr>
          <w:rFonts w:ascii="David" w:hAnsi="David" w:hint="cs"/>
          <w:rtl/>
        </w:rPr>
        <w:t>מ</w:t>
      </w:r>
      <w:r w:rsidR="00E94E05">
        <w:rPr>
          <w:rFonts w:ascii="David" w:hAnsi="David"/>
          <w:rtl/>
        </w:rPr>
        <w:t>'</w:t>
      </w:r>
      <w:r>
        <w:rPr>
          <w:rFonts w:ascii="David" w:hAnsi="David" w:hint="cs"/>
          <w:rtl/>
        </w:rPr>
        <w:t xml:space="preserve">);  כשברקע חובות האיש והאישה וקביעה (בהסכם עצמו) כי האישה רשאית להמשיך ולנהל עסק (קיים) בחנות ללא כל מגבלת שנים] </w:t>
      </w:r>
      <w:r>
        <w:rPr>
          <w:rFonts w:ascii="David" w:hAnsi="David"/>
          <w:rtl/>
        </w:rPr>
        <w:t>–</w:t>
      </w:r>
      <w:r>
        <w:rPr>
          <w:rFonts w:ascii="David" w:hAnsi="David" w:hint="cs"/>
          <w:rtl/>
        </w:rPr>
        <w:t xml:space="preserve"> </w:t>
      </w:r>
      <w:r w:rsidRPr="00272EDE">
        <w:rPr>
          <w:rFonts w:ascii="David" w:hAnsi="David" w:hint="cs"/>
          <w:b/>
          <w:bCs/>
          <w:rtl/>
        </w:rPr>
        <w:t>אינה מגלה מסקנה חד משמעית, מכוחה ניתן לסמוך רק על לשונו של הסכם הגירושין</w:t>
      </w:r>
      <w:r w:rsidRPr="00D55C94">
        <w:rPr>
          <w:rFonts w:ascii="David" w:hAnsi="David" w:hint="cs"/>
          <w:rtl/>
        </w:rPr>
        <w:t>.</w:t>
      </w:r>
      <w:r w:rsidRPr="00272EDE">
        <w:rPr>
          <w:rFonts w:ascii="David" w:hAnsi="David" w:hint="cs"/>
          <w:b/>
          <w:bCs/>
          <w:rtl/>
        </w:rPr>
        <w:t xml:space="preserve"> </w:t>
      </w:r>
    </w:p>
    <w:p w:rsidR="00D513AA" w:rsidRDefault="00D513AA" w:rsidP="00432342">
      <w:pPr>
        <w:spacing w:after="120" w:line="360" w:lineRule="auto"/>
        <w:ind w:left="720"/>
        <w:jc w:val="both"/>
        <w:rPr>
          <w:rFonts w:ascii="David" w:hAnsi="David"/>
          <w:rtl/>
        </w:rPr>
      </w:pPr>
      <w:r>
        <w:rPr>
          <w:rFonts w:ascii="David" w:hAnsi="David" w:hint="cs"/>
          <w:rtl/>
        </w:rPr>
        <w:t>לכן בפרשנות הסכם הגירושין, יש לפנות אל "</w:t>
      </w:r>
      <w:r w:rsidRPr="00501A09">
        <w:rPr>
          <w:rFonts w:ascii="David" w:hAnsi="David"/>
          <w:b/>
          <w:bCs/>
          <w:rtl/>
        </w:rPr>
        <w:t>אומד דעתם של הצדדים, כפי שהוא משתמע מתוך החוזה ומנסיבות העניין</w:t>
      </w:r>
      <w:r>
        <w:rPr>
          <w:rFonts w:ascii="David" w:hAnsi="David" w:hint="cs"/>
          <w:b/>
          <w:bCs/>
          <w:rtl/>
        </w:rPr>
        <w:t xml:space="preserve">" </w:t>
      </w:r>
      <w:r w:rsidRPr="00272EDE">
        <w:rPr>
          <w:rFonts w:ascii="David" w:hAnsi="David" w:hint="cs"/>
          <w:rtl/>
        </w:rPr>
        <w:t>(סעיף 25(א) רישא לחוק החוזים)</w:t>
      </w:r>
      <w:r>
        <w:rPr>
          <w:rFonts w:ascii="David" w:hAnsi="David" w:hint="cs"/>
          <w:rtl/>
        </w:rPr>
        <w:t xml:space="preserve">; נתונים אלה מובילים, במיוחד לנוכח תצהיר 2011, לפרשנותה של האישה את הסכם הגירושין, בדיוק כפי שפסק בית משפט קמא בפסק הדין. </w:t>
      </w:r>
    </w:p>
    <w:p w:rsidR="00D513AA" w:rsidRDefault="00D513AA" w:rsidP="00432342">
      <w:pPr>
        <w:spacing w:after="120" w:line="360" w:lineRule="auto"/>
        <w:ind w:left="720"/>
        <w:jc w:val="both"/>
        <w:rPr>
          <w:rFonts w:ascii="David" w:hAnsi="David"/>
          <w:rtl/>
        </w:rPr>
      </w:pPr>
      <w:r w:rsidRPr="00272EDE">
        <w:rPr>
          <w:rFonts w:ascii="David" w:hAnsi="David" w:hint="cs"/>
          <w:u w:val="single"/>
          <w:rtl/>
        </w:rPr>
        <w:t>היינו</w:t>
      </w:r>
      <w:r>
        <w:rPr>
          <w:rFonts w:ascii="David" w:hAnsi="David" w:hint="cs"/>
          <w:rtl/>
        </w:rPr>
        <w:t>:</w:t>
      </w:r>
    </w:p>
    <w:p w:rsidR="00D513AA" w:rsidRPr="00272EDE" w:rsidRDefault="00D513AA" w:rsidP="00432342">
      <w:pPr>
        <w:spacing w:after="120" w:line="360" w:lineRule="auto"/>
        <w:ind w:left="720"/>
        <w:jc w:val="both"/>
        <w:rPr>
          <w:rFonts w:ascii="David" w:hAnsi="David"/>
          <w:b/>
          <w:bCs/>
          <w:rtl/>
        </w:rPr>
      </w:pPr>
      <w:r w:rsidRPr="00272EDE">
        <w:rPr>
          <w:rFonts w:ascii="David" w:hAnsi="David" w:hint="cs"/>
          <w:b/>
          <w:bCs/>
          <w:rtl/>
        </w:rPr>
        <w:t>החנות דנן נתונה לאישה במסגרת חלוקת הנכסים המשותפים בין האיש והאישה</w:t>
      </w:r>
      <w:r>
        <w:rPr>
          <w:rFonts w:ascii="David" w:hAnsi="David" w:hint="cs"/>
          <w:b/>
          <w:bCs/>
          <w:rtl/>
        </w:rPr>
        <w:t>, כפי שהתבצעה בהסכם הגירושין</w:t>
      </w:r>
      <w:r w:rsidRPr="00272EDE">
        <w:rPr>
          <w:rFonts w:ascii="David" w:hAnsi="David" w:hint="cs"/>
          <w:b/>
          <w:bCs/>
          <w:rtl/>
        </w:rPr>
        <w:t>;</w:t>
      </w:r>
    </w:p>
    <w:p w:rsidR="00D513AA" w:rsidRPr="00272EDE" w:rsidRDefault="00D513AA" w:rsidP="00432342">
      <w:pPr>
        <w:spacing w:after="120" w:line="360" w:lineRule="auto"/>
        <w:ind w:left="720"/>
        <w:jc w:val="both"/>
        <w:rPr>
          <w:rFonts w:ascii="David" w:hAnsi="David"/>
          <w:b/>
          <w:bCs/>
          <w:rtl/>
        </w:rPr>
      </w:pPr>
      <w:r w:rsidRPr="00272EDE">
        <w:rPr>
          <w:rFonts w:ascii="David" w:hAnsi="David" w:hint="cs"/>
          <w:b/>
          <w:bCs/>
          <w:rtl/>
        </w:rPr>
        <w:t>האישה בחרה, לנוכח חובות בהן הייתה נתונה</w:t>
      </w:r>
      <w:r>
        <w:rPr>
          <w:rFonts w:ascii="David" w:hAnsi="David" w:hint="cs"/>
          <w:b/>
          <w:bCs/>
          <w:rtl/>
        </w:rPr>
        <w:t xml:space="preserve"> באותה עת</w:t>
      </w:r>
      <w:r w:rsidRPr="00272EDE">
        <w:rPr>
          <w:rFonts w:ascii="David" w:hAnsi="David" w:hint="cs"/>
          <w:b/>
          <w:bCs/>
          <w:rtl/>
        </w:rPr>
        <w:t xml:space="preserve">, לרשום את החנות על שם בתה </w:t>
      </w:r>
      <w:r w:rsidR="00E94E05">
        <w:rPr>
          <w:rFonts w:ascii="David" w:hAnsi="David" w:hint="cs"/>
          <w:b/>
          <w:bCs/>
          <w:rtl/>
        </w:rPr>
        <w:t>מ</w:t>
      </w:r>
      <w:r w:rsidR="00E94E05">
        <w:rPr>
          <w:rFonts w:ascii="David" w:hAnsi="David"/>
          <w:b/>
          <w:bCs/>
          <w:rtl/>
        </w:rPr>
        <w:t>'</w:t>
      </w:r>
      <w:r w:rsidRPr="00272EDE">
        <w:rPr>
          <w:rFonts w:ascii="David" w:hAnsi="David" w:hint="cs"/>
          <w:b/>
          <w:bCs/>
          <w:rtl/>
        </w:rPr>
        <w:t xml:space="preserve"> כנאמנ</w:t>
      </w:r>
      <w:r>
        <w:rPr>
          <w:rFonts w:ascii="David" w:hAnsi="David" w:hint="cs"/>
          <w:b/>
          <w:bCs/>
          <w:rtl/>
        </w:rPr>
        <w:t>ה בעבורה;</w:t>
      </w:r>
      <w:r w:rsidRPr="00272EDE">
        <w:rPr>
          <w:rFonts w:ascii="David" w:hAnsi="David" w:hint="cs"/>
          <w:b/>
          <w:bCs/>
          <w:rtl/>
        </w:rPr>
        <w:t xml:space="preserve"> ועסקינן בנאמנות משתמעת, שקיבלה ביטוי בכתב בתצהיר 2011;</w:t>
      </w:r>
    </w:p>
    <w:p w:rsidR="00D513AA" w:rsidRDefault="00D513AA" w:rsidP="00432342">
      <w:pPr>
        <w:spacing w:after="120" w:line="360" w:lineRule="auto"/>
        <w:ind w:left="720"/>
        <w:jc w:val="both"/>
        <w:rPr>
          <w:rFonts w:ascii="David" w:hAnsi="David"/>
          <w:b/>
          <w:bCs/>
          <w:rtl/>
        </w:rPr>
      </w:pPr>
      <w:r w:rsidRPr="00272EDE">
        <w:rPr>
          <w:rFonts w:ascii="David" w:hAnsi="David" w:hint="cs"/>
          <w:b/>
          <w:bCs/>
          <w:rtl/>
        </w:rPr>
        <w:lastRenderedPageBreak/>
        <w:t xml:space="preserve">תצהיר 2021 אינו יכול להפקיע את זכויות האישה מכוח הסכם הגירושין, שאושר והינו חלוט. </w:t>
      </w:r>
    </w:p>
    <w:p w:rsidR="00D513AA" w:rsidRDefault="00D513AA" w:rsidP="00432342">
      <w:pPr>
        <w:spacing w:after="120" w:line="360" w:lineRule="auto"/>
        <w:ind w:left="720" w:hanging="720"/>
        <w:jc w:val="both"/>
        <w:rPr>
          <w:rFonts w:ascii="David" w:hAnsi="David"/>
          <w:rtl/>
        </w:rPr>
      </w:pPr>
      <w:r>
        <w:rPr>
          <w:rFonts w:ascii="David" w:hAnsi="David" w:hint="cs"/>
          <w:rtl/>
        </w:rPr>
        <w:t>46.</w:t>
      </w:r>
      <w:r>
        <w:rPr>
          <w:rFonts w:ascii="David" w:hAnsi="David" w:hint="cs"/>
          <w:rtl/>
        </w:rPr>
        <w:tab/>
        <w:t xml:space="preserve">באשר לטענת המערערים כי הסכם הגירושין בהקשר של החנות מדבר על התחייבות עתידית, שאינה בת אכיפה, אלא בגדר התחייבות בעלמא, עד לרישום החנות על שם האיש בשנת 2022; אך אז הבת כבר ויתרה על הזכות האמורה, בהיותה בגדר "חוזה לטובת צד שלישי". לכן מכוח סעיף 35 לחוק החוזים הזכויות בחנות צריכות לחזור לבעלים הרשום, הוא האיש. </w:t>
      </w:r>
    </w:p>
    <w:p w:rsidR="00D513AA" w:rsidRDefault="00D513AA" w:rsidP="00432342">
      <w:pPr>
        <w:spacing w:after="120" w:line="360" w:lineRule="auto"/>
        <w:ind w:left="720" w:hanging="720"/>
        <w:jc w:val="both"/>
        <w:rPr>
          <w:rFonts w:ascii="David" w:hAnsi="David"/>
          <w:rtl/>
        </w:rPr>
      </w:pPr>
      <w:r>
        <w:rPr>
          <w:rFonts w:ascii="David" w:hAnsi="David"/>
          <w:rtl/>
        </w:rPr>
        <w:tab/>
      </w:r>
      <w:r>
        <w:rPr>
          <w:rFonts w:ascii="David" w:hAnsi="David" w:hint="cs"/>
          <w:rtl/>
        </w:rPr>
        <w:t xml:space="preserve">טענה זאת של התובע יש לדחות מטעמי פסק הדין (ראו סעיף 17(ו) לעיל). </w:t>
      </w:r>
    </w:p>
    <w:p w:rsidR="00D513AA" w:rsidRDefault="00D513AA" w:rsidP="00432342">
      <w:pPr>
        <w:spacing w:after="120" w:line="360" w:lineRule="auto"/>
        <w:ind w:left="720" w:hanging="720"/>
        <w:jc w:val="both"/>
        <w:rPr>
          <w:rFonts w:ascii="David" w:hAnsi="David"/>
          <w:rtl/>
        </w:rPr>
      </w:pPr>
      <w:r>
        <w:rPr>
          <w:rFonts w:ascii="David" w:hAnsi="David" w:hint="cs"/>
          <w:rtl/>
        </w:rPr>
        <w:t>47.</w:t>
      </w:r>
      <w:r>
        <w:rPr>
          <w:rFonts w:ascii="David" w:hAnsi="David" w:hint="cs"/>
          <w:rtl/>
        </w:rPr>
        <w:tab/>
        <w:t xml:space="preserve">מעבר לכך </w:t>
      </w:r>
      <w:r>
        <w:rPr>
          <w:rFonts w:ascii="David" w:hAnsi="David"/>
          <w:rtl/>
        </w:rPr>
        <w:t>–</w:t>
      </w:r>
      <w:r>
        <w:rPr>
          <w:rFonts w:ascii="David" w:hAnsi="David" w:hint="cs"/>
          <w:rtl/>
        </w:rPr>
        <w:t xml:space="preserve"> טענה זאת, כך לטעמי, אינה נכונה משפטית, ועצם העלאתה על ידי המערערים מלמד על </w:t>
      </w:r>
      <w:r w:rsidRPr="00620557">
        <w:rPr>
          <w:rFonts w:ascii="David" w:hAnsi="David" w:hint="cs"/>
          <w:b/>
          <w:bCs/>
          <w:rtl/>
        </w:rPr>
        <w:t>חוסר תום לב, ונ</w:t>
      </w:r>
      <w:r>
        <w:rPr>
          <w:rFonts w:ascii="David" w:hAnsi="David" w:hint="cs"/>
          <w:b/>
          <w:bCs/>
          <w:rtl/>
        </w:rPr>
        <w:t>י</w:t>
      </w:r>
      <w:r w:rsidRPr="00620557">
        <w:rPr>
          <w:rFonts w:ascii="David" w:hAnsi="David" w:hint="cs"/>
          <w:b/>
          <w:bCs/>
          <w:rtl/>
        </w:rPr>
        <w:t>סיון לקחת</w:t>
      </w:r>
      <w:r>
        <w:rPr>
          <w:rFonts w:ascii="David" w:hAnsi="David" w:hint="cs"/>
          <w:b/>
          <w:bCs/>
          <w:rtl/>
        </w:rPr>
        <w:t xml:space="preserve"> שלא כדין</w:t>
      </w:r>
      <w:r w:rsidRPr="00620557">
        <w:rPr>
          <w:rFonts w:ascii="David" w:hAnsi="David" w:hint="cs"/>
          <w:b/>
          <w:bCs/>
          <w:rtl/>
        </w:rPr>
        <w:t xml:space="preserve"> מהאישה נכס מקרקעין השייך לה מכח הסכם הגירושין וחוק יחסי ממון.</w:t>
      </w:r>
    </w:p>
    <w:p w:rsidR="00D513AA" w:rsidRDefault="00D513AA" w:rsidP="00432342">
      <w:pPr>
        <w:spacing w:after="120" w:line="360" w:lineRule="auto"/>
        <w:ind w:left="720" w:hanging="720"/>
        <w:jc w:val="both"/>
        <w:rPr>
          <w:rFonts w:ascii="David" w:hAnsi="David"/>
          <w:rtl/>
        </w:rPr>
      </w:pPr>
      <w:r>
        <w:rPr>
          <w:rFonts w:ascii="David" w:hAnsi="David"/>
          <w:rtl/>
        </w:rPr>
        <w:tab/>
      </w:r>
      <w:r w:rsidRPr="00620557">
        <w:rPr>
          <w:rFonts w:ascii="David" w:hAnsi="David"/>
          <w:rtl/>
        </w:rPr>
        <w:t xml:space="preserve">אזכיר בנדון את </w:t>
      </w:r>
      <w:r w:rsidRPr="00620557">
        <w:rPr>
          <w:rFonts w:ascii="David" w:hAnsi="David"/>
          <w:b/>
          <w:bCs/>
          <w:rtl/>
        </w:rPr>
        <w:t xml:space="preserve">הלכת אהרונוב </w:t>
      </w:r>
      <w:r w:rsidRPr="00D55C94">
        <w:rPr>
          <w:rFonts w:ascii="David" w:hAnsi="David"/>
          <w:rtl/>
        </w:rPr>
        <w:t xml:space="preserve">(ע"א 189/95 </w:t>
      </w:r>
      <w:r w:rsidRPr="00D55C94">
        <w:rPr>
          <w:rFonts w:ascii="David" w:hAnsi="David"/>
          <w:b/>
          <w:bCs/>
          <w:rtl/>
        </w:rPr>
        <w:t xml:space="preserve">בנק אוצר החייל בע"מ נ' אהרונוב </w:t>
      </w:r>
      <w:r w:rsidRPr="00D55C94">
        <w:rPr>
          <w:rFonts w:ascii="David" w:hAnsi="David"/>
          <w:rtl/>
        </w:rPr>
        <w:t>פ"ד נג(4) 199</w:t>
      </w:r>
      <w:r w:rsidRPr="00D55C94">
        <w:rPr>
          <w:rFonts w:ascii="David" w:hAnsi="David" w:hint="cs"/>
          <w:rtl/>
        </w:rPr>
        <w:t>,</w:t>
      </w:r>
      <w:r w:rsidRPr="00D55C94">
        <w:rPr>
          <w:rFonts w:ascii="David" w:hAnsi="David"/>
          <w:rtl/>
        </w:rPr>
        <w:t xml:space="preserve"> פסקאות 4 ו-6 לחוות דעתו של כב' הנשיא</w:t>
      </w:r>
      <w:r>
        <w:rPr>
          <w:rFonts w:ascii="David" w:hAnsi="David" w:hint="cs"/>
          <w:rtl/>
        </w:rPr>
        <w:t xml:space="preserve"> דאז</w:t>
      </w:r>
      <w:r w:rsidRPr="00D55C94">
        <w:rPr>
          <w:rFonts w:ascii="David" w:hAnsi="David"/>
          <w:rtl/>
        </w:rPr>
        <w:t xml:space="preserve"> אהרן ברק</w:t>
      </w:r>
      <w:r>
        <w:rPr>
          <w:rFonts w:ascii="David" w:hAnsi="David" w:hint="cs"/>
          <w:rtl/>
        </w:rPr>
        <w:t>)</w:t>
      </w:r>
      <w:r w:rsidRPr="00D55C94">
        <w:rPr>
          <w:rFonts w:ascii="David" w:hAnsi="David" w:hint="cs"/>
          <w:rtl/>
        </w:rPr>
        <w:t>,</w:t>
      </w:r>
      <w:r>
        <w:rPr>
          <w:rFonts w:ascii="David" w:hAnsi="David" w:hint="cs"/>
          <w:rtl/>
        </w:rPr>
        <w:t xml:space="preserve"> על פיה </w:t>
      </w:r>
      <w:r w:rsidRPr="00620557">
        <w:rPr>
          <w:rFonts w:ascii="David" w:hAnsi="David"/>
          <w:rtl/>
        </w:rPr>
        <w:t>כאשר מוכר מתחייב להקנות בעלות במקרקעין או במיטלטלין לקונה, משתכללת אצ</w:t>
      </w:r>
      <w:r>
        <w:rPr>
          <w:rFonts w:ascii="David" w:hAnsi="David"/>
          <w:rtl/>
        </w:rPr>
        <w:t xml:space="preserve">ל הקונה זכות שביושר. זוהי זכות </w:t>
      </w:r>
      <w:r>
        <w:rPr>
          <w:rFonts w:ascii="David" w:hAnsi="David" w:hint="cs"/>
          <w:rtl/>
        </w:rPr>
        <w:t>'</w:t>
      </w:r>
      <w:r w:rsidRPr="00620557">
        <w:rPr>
          <w:rFonts w:ascii="David" w:hAnsi="David"/>
          <w:rtl/>
        </w:rPr>
        <w:t>מעין-קניינית</w:t>
      </w:r>
      <w:r>
        <w:rPr>
          <w:rFonts w:ascii="David" w:hAnsi="David" w:hint="cs"/>
          <w:rtl/>
        </w:rPr>
        <w:t>'</w:t>
      </w:r>
      <w:r w:rsidRPr="00620557">
        <w:rPr>
          <w:rFonts w:ascii="David" w:hAnsi="David"/>
          <w:rtl/>
        </w:rPr>
        <w:t xml:space="preserve">. היא פועלת כלפי צדדים שלישיים. </w:t>
      </w:r>
      <w:r>
        <w:rPr>
          <w:rFonts w:ascii="David" w:hAnsi="David" w:hint="cs"/>
          <w:rtl/>
        </w:rPr>
        <w:t>זכות זאת היא מהותית בנכס הנמכר.</w:t>
      </w:r>
      <w:r w:rsidRPr="00620557">
        <w:rPr>
          <w:rFonts w:ascii="David" w:hAnsi="David"/>
          <w:rtl/>
        </w:rPr>
        <w:t xml:space="preserve"> המאפיין זכות זו הוא כי היא אינה אך כלפי המוכר. היא פועלת כלפי "כולי עלמא" ("זכות חפצא"; זכות </w:t>
      </w:r>
      <w:r w:rsidRPr="00620557">
        <w:rPr>
          <w:rFonts w:ascii="David" w:hAnsi="David"/>
        </w:rPr>
        <w:t>in rem</w:t>
      </w:r>
      <w:r w:rsidRPr="00620557">
        <w:rPr>
          <w:rFonts w:ascii="David" w:hAnsi="David"/>
          <w:rtl/>
        </w:rPr>
        <w:t xml:space="preserve">), למעט קונה בשוק הפתוח או רוכש הזכות בתמורה ובתום-לב (ובמקרקעין מוסדרים – ברישום </w:t>
      </w:r>
      <w:r>
        <w:rPr>
          <w:rFonts w:ascii="David" w:hAnsi="David"/>
          <w:rtl/>
        </w:rPr>
        <w:t>שנעשה בעוד הקונה פועל בתום-לב)</w:t>
      </w:r>
      <w:r>
        <w:rPr>
          <w:rFonts w:ascii="David" w:hAnsi="David" w:hint="cs"/>
          <w:rtl/>
        </w:rPr>
        <w:t>.</w:t>
      </w:r>
    </w:p>
    <w:p w:rsidR="00D513AA" w:rsidRDefault="00D513AA" w:rsidP="00432342">
      <w:pPr>
        <w:spacing w:after="120" w:line="360" w:lineRule="auto"/>
        <w:ind w:left="720" w:hanging="720"/>
        <w:jc w:val="both"/>
        <w:rPr>
          <w:rFonts w:ascii="David" w:hAnsi="David"/>
          <w:rtl/>
        </w:rPr>
      </w:pPr>
      <w:r>
        <w:rPr>
          <w:rFonts w:ascii="David" w:hAnsi="David"/>
          <w:rtl/>
        </w:rPr>
        <w:tab/>
      </w:r>
      <w:r>
        <w:rPr>
          <w:rFonts w:ascii="David" w:hAnsi="David" w:hint="cs"/>
          <w:rtl/>
        </w:rPr>
        <w:t xml:space="preserve">לשון אחרת </w:t>
      </w:r>
      <w:r>
        <w:rPr>
          <w:rFonts w:ascii="David" w:hAnsi="David"/>
          <w:rtl/>
        </w:rPr>
        <w:t>–</w:t>
      </w:r>
      <w:r>
        <w:rPr>
          <w:rFonts w:ascii="David" w:hAnsi="David" w:hint="cs"/>
          <w:rtl/>
        </w:rPr>
        <w:t xml:space="preserve"> הגם שהחנות טרם נרשמה על שם האיש, הרי ברגע הרכישה של החנות על ידי האיש בשנת 2001, האיש כבר קנה </w:t>
      </w:r>
      <w:r w:rsidRPr="00C26240">
        <w:rPr>
          <w:rFonts w:ascii="David" w:hAnsi="David" w:hint="cs"/>
          <w:b/>
          <w:bCs/>
          <w:u w:val="single"/>
          <w:rtl/>
        </w:rPr>
        <w:t>זכות שביושר בחנות שהינה מעין זכות קניינית</w:t>
      </w:r>
      <w:r>
        <w:rPr>
          <w:rFonts w:ascii="David" w:hAnsi="David" w:hint="cs"/>
          <w:rtl/>
        </w:rPr>
        <w:t>.</w:t>
      </w:r>
      <w:r>
        <w:rPr>
          <w:rFonts w:ascii="David" w:hAnsi="David" w:hint="cs"/>
          <w:b/>
          <w:bCs/>
          <w:rtl/>
        </w:rPr>
        <w:t xml:space="preserve"> </w:t>
      </w:r>
    </w:p>
    <w:p w:rsidR="00D513AA" w:rsidRDefault="00D513AA" w:rsidP="00432342">
      <w:pPr>
        <w:spacing w:after="120" w:line="360" w:lineRule="auto"/>
        <w:ind w:left="720" w:hanging="720"/>
        <w:jc w:val="both"/>
        <w:rPr>
          <w:rFonts w:ascii="David" w:hAnsi="David"/>
          <w:rtl/>
        </w:rPr>
      </w:pPr>
      <w:r>
        <w:rPr>
          <w:rFonts w:ascii="David" w:hAnsi="David"/>
          <w:rtl/>
        </w:rPr>
        <w:tab/>
      </w:r>
      <w:r>
        <w:rPr>
          <w:rFonts w:ascii="David" w:hAnsi="David" w:hint="cs"/>
          <w:rtl/>
        </w:rPr>
        <w:t xml:space="preserve">לכן במעמד הסכם הגירושין היה יכול האיש </w:t>
      </w:r>
      <w:r w:rsidRPr="00620557">
        <w:rPr>
          <w:rFonts w:ascii="David" w:hAnsi="David" w:hint="cs"/>
          <w:b/>
          <w:bCs/>
          <w:rtl/>
        </w:rPr>
        <w:t>להקנות לאלתר</w:t>
      </w:r>
      <w:r>
        <w:rPr>
          <w:rFonts w:ascii="David" w:hAnsi="David" w:hint="cs"/>
          <w:rtl/>
        </w:rPr>
        <w:t xml:space="preserve"> זכות זאת לאישה (וממנה ל</w:t>
      </w:r>
      <w:r w:rsidR="00E94E05">
        <w:rPr>
          <w:rFonts w:ascii="David" w:hAnsi="David" w:hint="cs"/>
          <w:rtl/>
        </w:rPr>
        <w:t>מ</w:t>
      </w:r>
      <w:r w:rsidR="00E94E05">
        <w:rPr>
          <w:rFonts w:ascii="David" w:hAnsi="David"/>
          <w:rtl/>
        </w:rPr>
        <w:t>'</w:t>
      </w:r>
      <w:r>
        <w:rPr>
          <w:rFonts w:ascii="David" w:hAnsi="David" w:hint="cs"/>
          <w:rtl/>
        </w:rPr>
        <w:t xml:space="preserve"> בנאמנות); ובהמשך, כשתירשם החנות על שמו, ישלים את העברת הזכויות בחנות על שם האישה במלואן.</w:t>
      </w:r>
    </w:p>
    <w:p w:rsidR="00D513AA" w:rsidRPr="005E275B" w:rsidRDefault="00D513AA" w:rsidP="00432342">
      <w:pPr>
        <w:spacing w:after="120" w:line="360" w:lineRule="auto"/>
        <w:ind w:left="720" w:hanging="720"/>
        <w:jc w:val="both"/>
        <w:rPr>
          <w:rFonts w:ascii="David" w:hAnsi="David"/>
          <w:b/>
          <w:bCs/>
          <w:rtl/>
        </w:rPr>
      </w:pPr>
      <w:r>
        <w:rPr>
          <w:rFonts w:ascii="David" w:hAnsi="David"/>
          <w:rtl/>
        </w:rPr>
        <w:lastRenderedPageBreak/>
        <w:tab/>
      </w:r>
      <w:r w:rsidRPr="005E275B">
        <w:rPr>
          <w:rFonts w:ascii="David" w:hAnsi="David" w:hint="cs"/>
          <w:b/>
          <w:bCs/>
          <w:rtl/>
        </w:rPr>
        <w:t xml:space="preserve">לכן כיום, כשכבר נרשמה החנות על שם האיש בשנת 2022, יש להורות על השלמת העברת הזכויות בחנות מכוחו של הסכם הגירושין, על שם האישה. בדיוק כפי שהורה בית משפט קמא. </w:t>
      </w:r>
    </w:p>
    <w:p w:rsidR="00D513AA" w:rsidRDefault="00D513AA" w:rsidP="00432342">
      <w:pPr>
        <w:spacing w:after="120" w:line="360" w:lineRule="auto"/>
        <w:ind w:left="720" w:hanging="720"/>
        <w:jc w:val="both"/>
        <w:rPr>
          <w:rFonts w:ascii="David" w:hAnsi="David"/>
          <w:rtl/>
        </w:rPr>
      </w:pPr>
      <w:r>
        <w:rPr>
          <w:rFonts w:ascii="David" w:hAnsi="David" w:hint="cs"/>
          <w:rtl/>
        </w:rPr>
        <w:t>48.</w:t>
      </w:r>
      <w:r>
        <w:rPr>
          <w:rFonts w:ascii="David" w:hAnsi="David" w:hint="cs"/>
          <w:rtl/>
        </w:rPr>
        <w:tab/>
        <w:t xml:space="preserve">האם כתב "קבלה וסילוק סופי" עליו חתמה האישה ביום 19.8.2011 (נספח 13 לנספחי הערעור), במסגרתו הצהירה כי האיש </w:t>
      </w:r>
      <w:r>
        <w:rPr>
          <w:rFonts w:ascii="David" w:hAnsi="David" w:hint="cs"/>
          <w:b/>
          <w:bCs/>
          <w:rtl/>
        </w:rPr>
        <w:t>"מילא את חלקו בכל התחייבויותיו ואינו חייב לי יותר מאומה"</w:t>
      </w:r>
      <w:r>
        <w:rPr>
          <w:rFonts w:ascii="David" w:hAnsi="David" w:hint="cs"/>
          <w:rtl/>
        </w:rPr>
        <w:t>, סותר את קביעות פסק הדין קמא, כטענת המערערים בערעורם?</w:t>
      </w:r>
    </w:p>
    <w:p w:rsidR="00D513AA" w:rsidRDefault="00D513AA" w:rsidP="00432342">
      <w:pPr>
        <w:spacing w:after="120" w:line="360" w:lineRule="auto"/>
        <w:ind w:left="720" w:hanging="720"/>
        <w:jc w:val="both"/>
        <w:rPr>
          <w:rFonts w:ascii="David" w:hAnsi="David"/>
          <w:rtl/>
        </w:rPr>
      </w:pPr>
      <w:r>
        <w:rPr>
          <w:rFonts w:ascii="David" w:hAnsi="David"/>
          <w:rtl/>
        </w:rPr>
        <w:tab/>
      </w:r>
      <w:r w:rsidRPr="00C26240">
        <w:rPr>
          <w:rFonts w:ascii="David" w:hAnsi="David" w:hint="cs"/>
          <w:b/>
          <w:bCs/>
          <w:rtl/>
        </w:rPr>
        <w:t>התשובה שלילית</w:t>
      </w:r>
      <w:r>
        <w:rPr>
          <w:rFonts w:ascii="David" w:hAnsi="David" w:hint="cs"/>
          <w:rtl/>
        </w:rPr>
        <w:t>.</w:t>
      </w:r>
    </w:p>
    <w:p w:rsidR="00D513AA" w:rsidRDefault="00D513AA" w:rsidP="00432342">
      <w:pPr>
        <w:spacing w:after="120" w:line="360" w:lineRule="auto"/>
        <w:ind w:left="720" w:hanging="720"/>
        <w:jc w:val="both"/>
        <w:rPr>
          <w:rFonts w:ascii="David" w:hAnsi="David"/>
          <w:rtl/>
        </w:rPr>
      </w:pPr>
      <w:r>
        <w:rPr>
          <w:rFonts w:ascii="David" w:hAnsi="David"/>
          <w:rtl/>
        </w:rPr>
        <w:tab/>
      </w:r>
      <w:r>
        <w:rPr>
          <w:rFonts w:ascii="David" w:hAnsi="David" w:hint="cs"/>
          <w:rtl/>
        </w:rPr>
        <w:t>הבהירה האישה בעדותה, כי חתמה על מסמך זה לנוכח האמור בסעיף 10 להסכם הגירושין, בו התחייב האיש לשלם לה סך של 40,000 ₪ במסגרת ההתחשבות הכספית ביניהם. האיש שילם את הסכום הנ"ל לשיעורין. לכן כתב הקבלה האמור כוון לסכום זה, ויש בו ללמד כי האיש סילק סכום זה במועד החת</w:t>
      </w:r>
      <w:r w:rsidR="00FF21A2">
        <w:rPr>
          <w:rFonts w:ascii="David" w:hAnsi="David" w:hint="cs"/>
          <w:rtl/>
        </w:rPr>
        <w:t>י</w:t>
      </w:r>
      <w:r>
        <w:rPr>
          <w:rFonts w:ascii="David" w:hAnsi="David" w:hint="cs"/>
          <w:rtl/>
        </w:rPr>
        <w:t xml:space="preserve">מה על כתב הקבלה האמור (עדותה של </w:t>
      </w:r>
      <w:r w:rsidRPr="004D0EEC">
        <w:rPr>
          <w:rFonts w:ascii="David" w:hAnsi="David" w:hint="cs"/>
          <w:rtl/>
        </w:rPr>
        <w:t>האישה בסעד הזמני, עמ' 2-3 לפרו').</w:t>
      </w:r>
      <w:r>
        <w:rPr>
          <w:rFonts w:ascii="David" w:hAnsi="David" w:hint="cs"/>
          <w:rtl/>
        </w:rPr>
        <w:t xml:space="preserve"> </w:t>
      </w:r>
    </w:p>
    <w:p w:rsidR="00D513AA" w:rsidRPr="00C26240" w:rsidRDefault="00D513AA" w:rsidP="00432342">
      <w:pPr>
        <w:spacing w:after="120" w:line="360" w:lineRule="auto"/>
        <w:ind w:left="720" w:hanging="720"/>
        <w:jc w:val="both"/>
        <w:rPr>
          <w:rFonts w:ascii="David" w:hAnsi="David"/>
          <w:rtl/>
        </w:rPr>
      </w:pPr>
      <w:r>
        <w:rPr>
          <w:rFonts w:ascii="David" w:hAnsi="David"/>
          <w:rtl/>
        </w:rPr>
        <w:tab/>
      </w:r>
      <w:r>
        <w:rPr>
          <w:rFonts w:ascii="David" w:hAnsi="David" w:hint="cs"/>
          <w:rtl/>
        </w:rPr>
        <w:t xml:space="preserve">מעבר לכך </w:t>
      </w:r>
      <w:r>
        <w:rPr>
          <w:rFonts w:ascii="David" w:hAnsi="David"/>
          <w:rtl/>
        </w:rPr>
        <w:t>–</w:t>
      </w:r>
      <w:r>
        <w:rPr>
          <w:rFonts w:ascii="David" w:hAnsi="David" w:hint="cs"/>
          <w:rtl/>
        </w:rPr>
        <w:t xml:space="preserve"> כתב הקבלה האמור, אינו מלמד כי החנות אינה של האישה במסגרת הסכם הגירושין. ההיפך, לנוכח העובדה שהצדדים ראו בהסכם הגירושין ככולל את החנות לטובת האישה, הסכימה האישה לחתום על כתב קבלה וסילוק סופי.   </w:t>
      </w:r>
    </w:p>
    <w:p w:rsidR="00D513AA" w:rsidRPr="005E275B" w:rsidRDefault="00D513AA" w:rsidP="00432342">
      <w:pPr>
        <w:spacing w:after="120" w:line="360" w:lineRule="auto"/>
        <w:ind w:left="720" w:hanging="720"/>
        <w:jc w:val="both"/>
        <w:rPr>
          <w:rFonts w:ascii="David" w:hAnsi="David"/>
          <w:b/>
          <w:bCs/>
          <w:rtl/>
        </w:rPr>
      </w:pPr>
      <w:r>
        <w:rPr>
          <w:rFonts w:ascii="David" w:hAnsi="David" w:hint="cs"/>
          <w:rtl/>
        </w:rPr>
        <w:t>49.</w:t>
      </w:r>
      <w:r>
        <w:rPr>
          <w:rFonts w:ascii="David" w:hAnsi="David" w:hint="cs"/>
          <w:rtl/>
        </w:rPr>
        <w:tab/>
      </w:r>
      <w:r w:rsidRPr="005E275B">
        <w:rPr>
          <w:rFonts w:ascii="David" w:hAnsi="David" w:hint="cs"/>
          <w:b/>
          <w:bCs/>
          <w:rtl/>
        </w:rPr>
        <w:t xml:space="preserve">לסיכום הדברים אמליץ לחבריי לדחות הערעור, תוך חיוב המערערים, יחד ולחוד, לשאת בהוצאות הערעור ובשכר טרחת בא כוח המשיבה בסכום כולל של 15,000 </w:t>
      </w:r>
      <w:r w:rsidRPr="00432342">
        <w:rPr>
          <w:rFonts w:ascii="David" w:hAnsi="David" w:hint="cs"/>
          <w:b/>
          <w:bCs/>
          <w:rtl/>
        </w:rPr>
        <w:t>₪</w:t>
      </w:r>
      <w:r w:rsidR="00432342" w:rsidRPr="00432342">
        <w:rPr>
          <w:rFonts w:ascii="David" w:hAnsi="David" w:hint="cs"/>
          <w:b/>
          <w:bCs/>
          <w:rtl/>
        </w:rPr>
        <w:t>, מתוך העירבון שהופקד בתיק</w:t>
      </w:r>
      <w:r w:rsidRPr="00432342">
        <w:rPr>
          <w:rFonts w:ascii="David" w:hAnsi="David" w:hint="cs"/>
          <w:b/>
          <w:bCs/>
          <w:rtl/>
        </w:rPr>
        <w:t>.</w:t>
      </w:r>
    </w:p>
    <w:p w:rsidR="00D513AA" w:rsidRPr="00C770E3" w:rsidRDefault="00D513AA" w:rsidP="00432342">
      <w:pPr>
        <w:spacing w:after="120" w:line="360" w:lineRule="auto"/>
        <w:ind w:left="720" w:hanging="720"/>
        <w:jc w:val="both"/>
        <w:rPr>
          <w:rFonts w:ascii="Arial" w:hAnsi="Arial"/>
          <w:noProof w:val="0"/>
          <w:rtl/>
        </w:rPr>
      </w:pPr>
      <w:r>
        <w:rPr>
          <w:rFonts w:ascii="David" w:hAnsi="David"/>
          <w:rtl/>
        </w:rPr>
        <w:tab/>
      </w:r>
    </w:p>
    <w:p w:rsidR="00694556" w:rsidRDefault="00432342" w:rsidP="00B1750E">
      <w:pPr>
        <w:spacing w:after="120" w:line="360" w:lineRule="auto"/>
        <w:ind w:left="425"/>
        <w:jc w:val="both"/>
        <w:rPr>
          <w:rFonts w:ascii="Arial" w:hAnsi="Arial"/>
          <w:noProof w:val="0"/>
          <w:rtl/>
        </w:rPr>
      </w:pPr>
      <w:r w:rsidRPr="00432342">
        <w:rPr>
          <w:rFonts w:ascii="Arial" w:hAnsi="Arial" w:hint="cs"/>
          <w:b/>
          <w:bCs/>
          <w:noProof w:val="0"/>
          <w:u w:val="single"/>
          <w:rtl/>
        </w:rPr>
        <w:t>השופטת אספרנצה אלון</w:t>
      </w:r>
      <w:r>
        <w:rPr>
          <w:rFonts w:ascii="Arial" w:hAnsi="Arial" w:hint="cs"/>
          <w:noProof w:val="0"/>
          <w:rtl/>
        </w:rPr>
        <w:t>:</w:t>
      </w:r>
    </w:p>
    <w:p w:rsidR="00432342" w:rsidRDefault="00432342" w:rsidP="00B1750E">
      <w:pPr>
        <w:spacing w:after="120" w:line="360" w:lineRule="auto"/>
        <w:ind w:left="425"/>
        <w:jc w:val="both"/>
        <w:rPr>
          <w:rFonts w:ascii="Arial" w:hAnsi="Arial"/>
          <w:noProof w:val="0"/>
          <w:rtl/>
        </w:rPr>
      </w:pPr>
      <w:r>
        <w:rPr>
          <w:rFonts w:ascii="Arial" w:hAnsi="Arial" w:hint="cs"/>
          <w:noProof w:val="0"/>
          <w:rtl/>
        </w:rPr>
        <w:t>אני מסכימה.</w:t>
      </w:r>
    </w:p>
    <w:p w:rsidR="00432342" w:rsidRDefault="00432342" w:rsidP="00B1750E">
      <w:pPr>
        <w:spacing w:after="120" w:line="360" w:lineRule="auto"/>
        <w:ind w:left="425"/>
        <w:jc w:val="both"/>
        <w:rPr>
          <w:rFonts w:ascii="Arial" w:hAnsi="Arial"/>
          <w:noProof w:val="0"/>
          <w:rtl/>
        </w:rPr>
      </w:pPr>
      <w:r w:rsidRPr="00432342">
        <w:rPr>
          <w:rFonts w:ascii="Arial" w:hAnsi="Arial" w:hint="cs"/>
          <w:b/>
          <w:bCs/>
          <w:noProof w:val="0"/>
          <w:u w:val="single"/>
          <w:rtl/>
        </w:rPr>
        <w:t>השופט אריה נאמן</w:t>
      </w:r>
      <w:r>
        <w:rPr>
          <w:rFonts w:ascii="Arial" w:hAnsi="Arial" w:hint="cs"/>
          <w:noProof w:val="0"/>
          <w:rtl/>
        </w:rPr>
        <w:t>:</w:t>
      </w:r>
    </w:p>
    <w:p w:rsidR="00432342" w:rsidRDefault="00432342" w:rsidP="00B1750E">
      <w:pPr>
        <w:spacing w:after="120" w:line="360" w:lineRule="auto"/>
        <w:ind w:left="425"/>
        <w:jc w:val="both"/>
        <w:rPr>
          <w:rFonts w:ascii="Arial" w:hAnsi="Arial"/>
          <w:noProof w:val="0"/>
          <w:rtl/>
        </w:rPr>
      </w:pPr>
      <w:r>
        <w:rPr>
          <w:rFonts w:ascii="Arial" w:hAnsi="Arial" w:hint="cs"/>
          <w:noProof w:val="0"/>
          <w:rtl/>
        </w:rPr>
        <w:lastRenderedPageBreak/>
        <w:t>אני מסכים.</w:t>
      </w:r>
    </w:p>
    <w:p w:rsidR="00432342" w:rsidRDefault="00432342" w:rsidP="00B1750E">
      <w:pPr>
        <w:spacing w:after="120" w:line="360" w:lineRule="auto"/>
        <w:ind w:left="425"/>
        <w:jc w:val="both"/>
        <w:rPr>
          <w:rFonts w:ascii="Arial" w:hAnsi="Arial"/>
          <w:noProof w:val="0"/>
          <w:rtl/>
        </w:rPr>
      </w:pPr>
    </w:p>
    <w:p w:rsidR="00432342" w:rsidRDefault="00432342" w:rsidP="00B1750E">
      <w:pPr>
        <w:spacing w:after="120" w:line="360" w:lineRule="auto"/>
        <w:ind w:left="425"/>
        <w:jc w:val="both"/>
        <w:rPr>
          <w:rFonts w:ascii="Arial" w:hAnsi="Arial"/>
          <w:noProof w:val="0"/>
          <w:rtl/>
        </w:rPr>
      </w:pPr>
      <w:r w:rsidRPr="00432342">
        <w:rPr>
          <w:rFonts w:ascii="Arial" w:hAnsi="Arial" w:hint="cs"/>
          <w:b/>
          <w:bCs/>
          <w:noProof w:val="0"/>
          <w:rtl/>
        </w:rPr>
        <w:t xml:space="preserve">הוחלט פה אחד על דחיית הערעור, תוך </w:t>
      </w:r>
      <w:r w:rsidRPr="00432342">
        <w:rPr>
          <w:rFonts w:ascii="David" w:hAnsi="David" w:hint="cs"/>
          <w:b/>
          <w:bCs/>
          <w:rtl/>
        </w:rPr>
        <w:t>חיוב המערערים</w:t>
      </w:r>
      <w:r w:rsidRPr="005E275B">
        <w:rPr>
          <w:rFonts w:ascii="David" w:hAnsi="David" w:hint="cs"/>
          <w:b/>
          <w:bCs/>
          <w:rtl/>
        </w:rPr>
        <w:t>, יחד ולחוד, לשאת בהוצאות הערעור ובשכר טרחת בא כוח המשיבה בסכום כולל של 15,000 ₪</w:t>
      </w:r>
      <w:r w:rsidRPr="00021DF5">
        <w:rPr>
          <w:rFonts w:ascii="David" w:hAnsi="David" w:hint="cs"/>
          <w:rtl/>
        </w:rPr>
        <w:t>.</w:t>
      </w:r>
    </w:p>
    <w:p w:rsidR="00432342" w:rsidRDefault="00432342" w:rsidP="00B1750E">
      <w:pPr>
        <w:spacing w:after="120" w:line="360" w:lineRule="auto"/>
        <w:ind w:left="425"/>
        <w:jc w:val="both"/>
        <w:rPr>
          <w:rFonts w:ascii="Arial" w:hAnsi="Arial"/>
          <w:noProof w:val="0"/>
          <w:rtl/>
        </w:rPr>
      </w:pPr>
      <w:r>
        <w:rPr>
          <w:rFonts w:ascii="David" w:hAnsi="David" w:hint="cs"/>
          <w:rtl/>
        </w:rPr>
        <w:t>סכום זה ישולם באמצעות הערבון שהפקידו המערערים בתיק זה, שיועבר למשיבה באמצעות בא כוחה.</w:t>
      </w:r>
    </w:p>
    <w:p w:rsidR="009A3EF5" w:rsidRPr="00C770E3" w:rsidRDefault="009A3EF5" w:rsidP="00B1750E">
      <w:pPr>
        <w:spacing w:after="120" w:line="360" w:lineRule="auto"/>
        <w:ind w:left="425"/>
        <w:jc w:val="both"/>
        <w:rPr>
          <w:rFonts w:ascii="Arial" w:hAnsi="Arial"/>
          <w:noProof w:val="0"/>
          <w:rtl/>
        </w:rPr>
      </w:pPr>
    </w:p>
    <w:p w:rsidR="00694556" w:rsidRDefault="00432342" w:rsidP="00B1750E">
      <w:pPr>
        <w:spacing w:after="120" w:line="360" w:lineRule="auto"/>
        <w:ind w:left="425"/>
        <w:jc w:val="both"/>
        <w:rPr>
          <w:rFonts w:ascii="Arial" w:hAnsi="Arial"/>
          <w:noProof w:val="0"/>
          <w:rtl/>
        </w:rPr>
      </w:pPr>
      <w:r w:rsidRPr="00432342">
        <w:rPr>
          <w:rFonts w:ascii="Arial" w:hAnsi="Arial" w:hint="cs"/>
          <w:b/>
          <w:bCs/>
          <w:noProof w:val="0"/>
          <w:rtl/>
        </w:rPr>
        <w:t>פסק דין זה מותר לפרסום, תוך השמטת שמות הצדדים וכל פרט מזהה אחר</w:t>
      </w:r>
      <w:r>
        <w:rPr>
          <w:rFonts w:ascii="Arial" w:hAnsi="Arial" w:hint="cs"/>
          <w:noProof w:val="0"/>
          <w:rtl/>
        </w:rPr>
        <w:t>.</w:t>
      </w:r>
    </w:p>
    <w:p w:rsidR="006D4AC5" w:rsidRDefault="006D4AC5" w:rsidP="00432342">
      <w:pPr>
        <w:spacing w:after="120" w:line="360" w:lineRule="auto"/>
        <w:jc w:val="both"/>
        <w:rPr>
          <w:rFonts w:ascii="Arial" w:hAnsi="Arial"/>
          <w:noProof w:val="0"/>
          <w:rtl/>
        </w:rPr>
      </w:pPr>
    </w:p>
    <w:p w:rsidR="006D4AC5" w:rsidRPr="00C770E3" w:rsidRDefault="006D4AC5" w:rsidP="00432342">
      <w:pPr>
        <w:spacing w:after="120"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B1750E">
      <w:pPr>
        <w:spacing w:line="360" w:lineRule="auto"/>
        <w:ind w:left="567" w:hanging="142"/>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יוני 2024</w:t>
          </w:r>
        </w:sdtContent>
      </w:sdt>
      <w:r w:rsidR="00005C8B">
        <w:rPr>
          <w:rFonts w:ascii="Arial" w:hAnsi="Arial"/>
          <w:noProof w:val="0"/>
          <w:rtl/>
        </w:rPr>
        <w:t>, בהעדר הצדדים.</w:t>
      </w:r>
    </w:p>
    <w:p w:rsidR="006D4AC5" w:rsidRDefault="006D4AC5" w:rsidP="00860102">
      <w:pPr>
        <w:spacing w:line="360" w:lineRule="auto"/>
        <w:jc w:val="both"/>
        <w:rPr>
          <w:rFonts w:ascii="Arial" w:hAnsi="Arial"/>
          <w:noProof w:val="0"/>
          <w:rtl/>
        </w:rPr>
      </w:pPr>
    </w:p>
    <w:p w:rsidR="006D4AC5" w:rsidRDefault="006D4AC5" w:rsidP="00860102">
      <w:pPr>
        <w:spacing w:line="360" w:lineRule="auto"/>
        <w:jc w:val="both"/>
        <w:rPr>
          <w:rFonts w:ascii="Arial" w:hAnsi="Arial"/>
          <w:noProof w:val="0"/>
          <w:rtl/>
        </w:rPr>
      </w:pPr>
    </w:p>
    <w:p w:rsidR="00432342" w:rsidRDefault="00432342" w:rsidP="00860102">
      <w:pPr>
        <w:spacing w:line="360" w:lineRule="auto"/>
        <w:jc w:val="both"/>
        <w:rPr>
          <w:rFonts w:ascii="Arial" w:hAnsi="Arial"/>
          <w:noProof w:val="0"/>
          <w:rtl/>
        </w:rPr>
      </w:pPr>
    </w:p>
    <w:p w:rsidR="00432342" w:rsidRPr="00EC12BC" w:rsidRDefault="00432342"/>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96"/>
        <w:gridCol w:w="354"/>
        <w:gridCol w:w="2312"/>
        <w:gridCol w:w="341"/>
        <w:gridCol w:w="2503"/>
      </w:tblGrid>
      <w:tr w:rsidR="00432342" w:rsidRPr="00EC12BC" w:rsidTr="000210FB">
        <w:tc>
          <w:tcPr>
            <w:tcW w:w="2796" w:type="dxa"/>
            <w:tcBorders>
              <w:top w:val="nil"/>
              <w:left w:val="nil"/>
              <w:bottom w:val="single" w:sz="4" w:space="0" w:color="auto"/>
              <w:right w:val="nil"/>
            </w:tcBorders>
            <w:vAlign w:val="bottom"/>
          </w:tcPr>
          <w:p w:rsidR="00432342" w:rsidRPr="00EC12BC" w:rsidRDefault="00432342" w:rsidP="00BB162B">
            <w:pPr>
              <w:jc w:val="center"/>
              <w:rPr>
                <w:rFonts w:ascii="Courier New" w:hAnsi="Courier New"/>
                <w:b/>
                <w:bCs/>
              </w:rPr>
            </w:pPr>
            <w:r>
              <w:lastRenderedPageBreak/>
              <w:drawing>
                <wp:inline distT="0" distB="0" distL="0" distR="0" wp14:anchorId="49805456" wp14:editId="5B3046D9">
                  <wp:extent cx="1361051" cy="844004"/>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366341" cy="847284"/>
                          </a:xfrm>
                          <a:prstGeom prst="rect">
                            <a:avLst/>
                          </a:prstGeom>
                        </pic:spPr>
                      </pic:pic>
                    </a:graphicData>
                  </a:graphic>
                </wp:inline>
              </w:drawing>
            </w:r>
          </w:p>
        </w:tc>
        <w:tc>
          <w:tcPr>
            <w:tcW w:w="354" w:type="dxa"/>
            <w:vAlign w:val="bottom"/>
          </w:tcPr>
          <w:p w:rsidR="00432342" w:rsidRPr="00EC12BC" w:rsidRDefault="00432342" w:rsidP="00BB162B">
            <w:pPr>
              <w:jc w:val="center"/>
              <w:rPr>
                <w:rFonts w:ascii="Courier New" w:hAnsi="Courier New"/>
                <w:b/>
                <w:bCs/>
              </w:rPr>
            </w:pPr>
          </w:p>
        </w:tc>
        <w:tc>
          <w:tcPr>
            <w:tcW w:w="2312" w:type="dxa"/>
            <w:tcBorders>
              <w:top w:val="nil"/>
              <w:left w:val="nil"/>
              <w:bottom w:val="single" w:sz="4" w:space="0" w:color="auto"/>
              <w:right w:val="nil"/>
            </w:tcBorders>
            <w:vAlign w:val="bottom"/>
          </w:tcPr>
          <w:p w:rsidR="00432342" w:rsidRPr="00EC12BC" w:rsidRDefault="00432342" w:rsidP="00BB162B">
            <w:pPr>
              <w:jc w:val="center"/>
              <w:rPr>
                <w:rFonts w:ascii="Courier New" w:hAnsi="Courier New"/>
                <w:b/>
                <w:bCs/>
              </w:rPr>
            </w:pPr>
            <w:r>
              <w:drawing>
                <wp:inline distT="0" distB="0" distL="0" distR="0" wp14:anchorId="319D00F2" wp14:editId="6F3A089F">
                  <wp:extent cx="527685" cy="817880"/>
                  <wp:effectExtent l="0" t="0" r="5715" b="1270"/>
                  <wp:docPr id="3" name="תמונה 3"/>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685" cy="817880"/>
                          </a:xfrm>
                          <a:prstGeom prst="rect">
                            <a:avLst/>
                          </a:prstGeom>
                          <a:noFill/>
                          <a:ln>
                            <a:noFill/>
                          </a:ln>
                        </pic:spPr>
                      </pic:pic>
                    </a:graphicData>
                  </a:graphic>
                </wp:inline>
              </w:drawing>
            </w:r>
          </w:p>
        </w:tc>
        <w:tc>
          <w:tcPr>
            <w:tcW w:w="341" w:type="dxa"/>
            <w:vAlign w:val="bottom"/>
          </w:tcPr>
          <w:p w:rsidR="00432342" w:rsidRPr="00EC12BC" w:rsidRDefault="00432342" w:rsidP="00BB162B">
            <w:pPr>
              <w:jc w:val="center"/>
              <w:rPr>
                <w:rFonts w:ascii="Courier New" w:hAnsi="Courier New"/>
                <w:b/>
                <w:bCs/>
              </w:rPr>
            </w:pPr>
          </w:p>
        </w:tc>
        <w:tc>
          <w:tcPr>
            <w:tcW w:w="2503" w:type="dxa"/>
            <w:tcBorders>
              <w:top w:val="nil"/>
              <w:left w:val="nil"/>
              <w:bottom w:val="single" w:sz="4" w:space="0" w:color="auto"/>
              <w:right w:val="nil"/>
            </w:tcBorders>
            <w:vAlign w:val="bottom"/>
          </w:tcPr>
          <w:p w:rsidR="00432342" w:rsidRPr="00EC12BC" w:rsidRDefault="00432342" w:rsidP="00BB162B">
            <w:pPr>
              <w:jc w:val="center"/>
              <w:rPr>
                <w:rFonts w:ascii="Courier New" w:hAnsi="Courier New"/>
                <w:b/>
                <w:bCs/>
              </w:rPr>
            </w:pPr>
            <w:r>
              <w:drawing>
                <wp:inline distT="0" distB="0" distL="0" distR="0" wp14:anchorId="6A3F69AA" wp14:editId="3EF4D19F">
                  <wp:extent cx="848360" cy="877570"/>
                  <wp:effectExtent l="0" t="0" r="8890" b="0"/>
                  <wp:docPr id="2" name="תמונה 2"/>
                  <wp:cNvGraphicFramePr/>
                  <a:graphic xmlns:a="http://schemas.openxmlformats.org/drawingml/2006/main">
                    <a:graphicData uri="http://schemas.openxmlformats.org/drawingml/2006/picture">
                      <pic:pic xmlns:pic="http://schemas.openxmlformats.org/drawingml/2006/picture">
                        <pic:nvPicPr>
                          <pic:cNvPr id="2" name="תמונה 2"/>
                          <pic:cNvPicPr/>
                        </pic:nvPicPr>
                        <pic:blipFill>
                          <a:blip r:embed="rId12">
                            <a:extLst>
                              <a:ext uri="{BEBA8EAE-BF5A-486C-A8C5-ECC9F3942E4B}">
                                <a14:imgProps xmlns:a14="http://schemas.microsoft.com/office/drawing/2010/main">
                                  <a14:imgLayer r:embed="rId13">
                                    <a14:imgEffect>
                                      <a14:brightnessContrast bright="20000" contrast="20000"/>
                                    </a14:imgEffect>
                                  </a14:imgLayer>
                                </a14:imgProps>
                              </a:ext>
                            </a:extLst>
                          </a:blip>
                          <a:stretch>
                            <a:fillRect/>
                          </a:stretch>
                        </pic:blipFill>
                        <pic:spPr>
                          <a:xfrm>
                            <a:off x="0" y="0"/>
                            <a:ext cx="848360" cy="877570"/>
                          </a:xfrm>
                          <a:prstGeom prst="rect">
                            <a:avLst/>
                          </a:prstGeom>
                        </pic:spPr>
                      </pic:pic>
                    </a:graphicData>
                  </a:graphic>
                </wp:inline>
              </w:drawing>
            </w:r>
          </w:p>
        </w:tc>
      </w:tr>
      <w:tr w:rsidR="00432342" w:rsidRPr="00EC12BC" w:rsidTr="000210FB">
        <w:tc>
          <w:tcPr>
            <w:tcW w:w="2796" w:type="dxa"/>
            <w:tcBorders>
              <w:top w:val="single" w:sz="4" w:space="0" w:color="auto"/>
              <w:left w:val="nil"/>
              <w:bottom w:val="nil"/>
              <w:right w:val="nil"/>
            </w:tcBorders>
          </w:tcPr>
          <w:p w:rsidR="00432342" w:rsidRDefault="00432342" w:rsidP="00BB162B">
            <w:pPr>
              <w:jc w:val="center"/>
              <w:rPr>
                <w:b/>
                <w:bCs/>
                <w:rtl/>
              </w:rPr>
            </w:pPr>
            <w:r>
              <w:rPr>
                <w:rFonts w:hint="cs"/>
                <w:b/>
                <w:bCs/>
                <w:rtl/>
              </w:rPr>
              <w:t>ח. שרעבי, שופט</w:t>
            </w:r>
          </w:p>
          <w:p w:rsidR="00432342" w:rsidRPr="00EC12BC" w:rsidRDefault="00432342" w:rsidP="00BB162B">
            <w:pPr>
              <w:jc w:val="center"/>
              <w:rPr>
                <w:b/>
                <w:bCs/>
              </w:rPr>
            </w:pPr>
            <w:r>
              <w:rPr>
                <w:rFonts w:hint="cs"/>
                <w:b/>
                <w:bCs/>
                <w:rtl/>
              </w:rPr>
              <w:t>אב"ד</w:t>
            </w:r>
          </w:p>
        </w:tc>
        <w:tc>
          <w:tcPr>
            <w:tcW w:w="354" w:type="dxa"/>
          </w:tcPr>
          <w:p w:rsidR="00432342" w:rsidRPr="00EC12BC" w:rsidRDefault="00432342" w:rsidP="00BB162B">
            <w:pPr>
              <w:spacing w:line="360" w:lineRule="auto"/>
              <w:rPr>
                <w:b/>
                <w:bCs/>
                <w:color w:val="FF0000"/>
              </w:rPr>
            </w:pPr>
          </w:p>
        </w:tc>
        <w:tc>
          <w:tcPr>
            <w:tcW w:w="2312" w:type="dxa"/>
            <w:tcBorders>
              <w:top w:val="single" w:sz="4" w:space="0" w:color="auto"/>
              <w:left w:val="nil"/>
              <w:bottom w:val="nil"/>
              <w:right w:val="nil"/>
            </w:tcBorders>
          </w:tcPr>
          <w:p w:rsidR="00432342" w:rsidRPr="00EC12BC" w:rsidRDefault="00432342" w:rsidP="00BB162B">
            <w:pPr>
              <w:spacing w:line="360" w:lineRule="auto"/>
              <w:jc w:val="center"/>
              <w:rPr>
                <w:b/>
                <w:bCs/>
              </w:rPr>
            </w:pPr>
            <w:r>
              <w:rPr>
                <w:rFonts w:hint="cs"/>
                <w:b/>
                <w:bCs/>
                <w:rtl/>
              </w:rPr>
              <w:t>א. אלון, שופטת</w:t>
            </w:r>
          </w:p>
        </w:tc>
        <w:tc>
          <w:tcPr>
            <w:tcW w:w="341" w:type="dxa"/>
          </w:tcPr>
          <w:p w:rsidR="00432342" w:rsidRPr="00EC12BC" w:rsidRDefault="00432342" w:rsidP="00BB162B">
            <w:pPr>
              <w:spacing w:line="360" w:lineRule="auto"/>
              <w:rPr>
                <w:b/>
                <w:bCs/>
                <w:color w:val="FF0000"/>
              </w:rPr>
            </w:pPr>
          </w:p>
        </w:tc>
        <w:tc>
          <w:tcPr>
            <w:tcW w:w="2503" w:type="dxa"/>
            <w:tcBorders>
              <w:top w:val="single" w:sz="4" w:space="0" w:color="auto"/>
              <w:left w:val="nil"/>
              <w:bottom w:val="nil"/>
              <w:right w:val="nil"/>
            </w:tcBorders>
          </w:tcPr>
          <w:p w:rsidR="00432342" w:rsidRPr="00EC12BC" w:rsidRDefault="00432342" w:rsidP="00BB162B">
            <w:pPr>
              <w:spacing w:line="360" w:lineRule="auto"/>
              <w:jc w:val="center"/>
              <w:rPr>
                <w:b/>
                <w:bCs/>
                <w:rtl/>
              </w:rPr>
            </w:pPr>
            <w:r>
              <w:rPr>
                <w:rFonts w:hint="cs"/>
                <w:b/>
                <w:bCs/>
                <w:rtl/>
              </w:rPr>
              <w:t>א. נאמן, שופט</w:t>
            </w:r>
          </w:p>
        </w:tc>
      </w:tr>
    </w:tbl>
    <w:p w:rsidR="00694556" w:rsidRDefault="00BD6531" w:rsidP="00D20FE4">
      <w:pPr>
        <w:tabs>
          <w:tab w:val="left" w:pos="2553"/>
        </w:tabs>
        <w:rPr>
          <w:rFonts w:ascii="Arial" w:hAnsi="Arial"/>
          <w:noProof w:val="0"/>
          <w:rtl/>
        </w:rPr>
      </w:pPr>
      <w:r>
        <w:rPr>
          <w:rFonts w:hint="cs"/>
          <w:rtl/>
        </w:rPr>
        <w:t xml:space="preserve">       </w:t>
      </w:r>
    </w:p>
    <w:sectPr w:rsidR="00694556" w:rsidSect="006D4AC5">
      <w:headerReference w:type="default" r:id="rId14"/>
      <w:footerReference w:type="default" r:id="rId15"/>
      <w:pgSz w:w="11907" w:h="16840" w:code="9"/>
      <w:pgMar w:top="1440" w:right="850" w:bottom="1440" w:left="1276"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52D" w:rsidRDefault="0073452D">
      <w:r>
        <w:separator/>
      </w:r>
    </w:p>
  </w:endnote>
  <w:endnote w:type="continuationSeparator" w:id="0">
    <w:p w:rsidR="0073452D" w:rsidRDefault="00734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B966BE">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B966BE">
      <w:rPr>
        <w:rStyle w:val="ab"/>
        <w:rFonts w:ascii="David" w:hAnsi="David"/>
        <w:rtl/>
      </w:rPr>
      <w:t>1</w:t>
    </w:r>
    <w:r w:rsidRPr="00424313">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52D" w:rsidRDefault="0073452D">
      <w:r>
        <w:separator/>
      </w:r>
    </w:p>
  </w:footnote>
  <w:footnote w:type="continuationSeparator" w:id="0">
    <w:p w:rsidR="0073452D" w:rsidRDefault="00734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D513AA" w:rsidRDefault="0073452D" w:rsidP="00232914">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עמ"ש</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6687-02-24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232914">
                <w:rPr>
                  <w:rFonts w:hint="cs"/>
                  <w:b/>
                  <w:bCs/>
                  <w:noProof w:val="0"/>
                  <w:sz w:val="26"/>
                  <w:szCs w:val="26"/>
                  <w:rtl/>
                </w:rPr>
                <w:t>א. ג</w:t>
              </w:r>
              <w:r w:rsidR="00424313">
                <w:rPr>
                  <w:b/>
                  <w:bCs/>
                  <w:noProof w:val="0"/>
                  <w:sz w:val="26"/>
                  <w:szCs w:val="26"/>
                  <w:rtl/>
                </w:rPr>
                <w:t xml:space="preserve"> ואח' נ' </w:t>
              </w:r>
              <w:r w:rsidR="00232914">
                <w:rPr>
                  <w:rFonts w:hint="cs"/>
                  <w:b/>
                  <w:bCs/>
                  <w:noProof w:val="0"/>
                  <w:sz w:val="26"/>
                  <w:szCs w:val="26"/>
                  <w:rtl/>
                </w:rPr>
                <w:t>ק.</w:t>
              </w:r>
            </w:sdtContent>
          </w:sdt>
          <w:r w:rsidR="007C2453">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8903C5"/>
    <w:multiLevelType w:val="hybridMultilevel"/>
    <w:tmpl w:val="BBC2A134"/>
    <w:lvl w:ilvl="0" w:tplc="E4B2445C">
      <w:start w:val="1"/>
      <w:numFmt w:val="hebrew1"/>
      <w:lvlText w:val="%1."/>
      <w:lvlJc w:val="left"/>
      <w:pPr>
        <w:ind w:left="1080" w:hanging="360"/>
      </w:pPr>
      <w:rPr>
        <w:rFonts w:cs="David"/>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6544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65448&amp;lt;/CaseID&amp;gt;_x000d__x000a_        &amp;lt;CaseMonth&amp;gt;2&amp;lt;/CaseMonth&amp;gt;_x000d__x000a_        &amp;lt;CaseYear&amp;gt;2024&amp;lt;/CaseYear&amp;gt;_x000d__x000a_        &amp;lt;CaseNumber&amp;gt;6687&amp;lt;/CaseNumber&amp;gt;_x000d__x000a_        &amp;lt;NumeratorGroupID&amp;gt;1&amp;lt;/NumeratorGroupID&amp;gt;_x000d__x000a_        &amp;lt;CaseName&amp;gt;אסחאק גובראן ואח&amp;#39; נ&amp;#39; קזמוז&amp;lt;/CaseName&amp;gt;_x000d__x000a_        &amp;lt;CourtID&amp;gt;13&amp;lt;/CourtID&amp;gt;_x000d__x000a_        &amp;lt;CaseTypeID&amp;gt;63&amp;lt;/CaseTypeID&amp;gt;_x000d__x000a_        &amp;lt;CaseInterestID&amp;gt;10514&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687-02-24&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4-02-04T14:52:00+02:00&amp;lt;/CaseOpenDate&amp;gt;_x000d__x000a_        &amp;lt;PleaTypeID&amp;gt;6&amp;lt;/PleaTypeID&amp;gt;_x000d__x000a_        &amp;lt;CourtLevelID&amp;gt;2&amp;lt;/CourtLevelID&amp;gt;_x000d__x000a_        &amp;lt;CourtLevelCaseTypeInterestID&amp;gt;1763&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דיון ב-10.6&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65448&amp;lt;/CaseID&amp;gt;_x000d__x000a_        &amp;lt;CaseMonth&amp;gt;2&amp;lt;/CaseMonth&amp;gt;_x000d__x000a_        &amp;lt;CaseYear&amp;gt;2024&amp;lt;/CaseYear&amp;gt;_x000d__x000a_        &amp;lt;CaseNumber&amp;gt;6687&amp;lt;/CaseNumber&amp;gt;_x000d__x000a_        &amp;lt;NumeratorGroupID&amp;gt;1&amp;lt;/NumeratorGroupID&amp;gt;_x000d__x000a_        &amp;lt;CaseName&amp;gt;אסחאק גובראן ואח&amp;#39; נ&amp;#39; קזמוז&amp;lt;/CaseName&amp;gt;_x000d__x000a_        &amp;lt;CourtID&amp;gt;13&amp;lt;/CourtID&amp;gt;_x000d__x000a_        &amp;lt;CaseTypeID&amp;gt;63&amp;lt;/CaseTypeID&amp;gt;_x000d__x000a_        &amp;lt;CaseInterestID&amp;gt;10514&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687-02-24&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CaseNextDeterminingTask&amp;gt;34&amp;lt;/CaseNextDeterminingTask&amp;gt;_x000d__x000a_        &amp;lt;CaseOpenDate&amp;gt;2024-02-04T14:52:00+02:00&amp;lt;/CaseOpenDate&amp;gt;_x000d__x000a_        &amp;lt;PleaTypeID&amp;gt;6&amp;lt;/PleaTypeID&amp;gt;_x000d__x000a_        &amp;lt;CourtLevelID&amp;gt;2&amp;lt;/CourtLevelID&amp;gt;_x000d__x000a_        &amp;lt;CourtLevelCaseTypeInterestID&amp;gt;1763&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דיון ב-10.6&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280621&amp;lt;/DecisionID&amp;gt;_x000d__x000a_        &amp;lt;DecisionName&amp;gt;פסק דין  שניתנה ע&amp;quot;י  חננאל שרעבי&amp;lt;/DecisionName&amp;gt;_x000d__x000a_        &amp;lt;DecisionStatusID&amp;gt;1&amp;lt;/DecisionStatusID&amp;gt;_x000d__x000a_        &amp;lt;DecisionStatusChangeDate&amp;gt;2024-06-17T12:07:21.417+03:00&amp;lt;/DecisionStatusChangeDate&amp;gt;_x000d__x000a_        &amp;lt;DecisionSignatureDate&amp;gt;2024-06-17T11:29:20.78+03:00&amp;lt;/DecisionSignatureDate&amp;gt;_x000d__x000a_        &amp;lt;DecisionSignatureUserID&amp;gt;056479827@GOV.IL&amp;lt;/DecisionSignatureUserID&amp;gt;_x000d__x000a_        &amp;lt;DecisionCreateDate&amp;gt;2024-06-17T11:32:24.53+03:00&amp;lt;/DecisionCreateDate&amp;gt;_x000d__x000a_        &amp;lt;DecisionChangeDate&amp;gt;2024-06-17T12:07:21.483+03:00&amp;lt;/DecisionChangeDate&amp;gt;_x000d__x000a_        &amp;lt;DecisionChangeUserID&amp;gt;0564798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604122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2280621&amp;lt;/DecisionID&amp;gt;_x000d__x000a_        &amp;lt;CaseID&amp;gt;80965448&amp;lt;/CaseID&amp;gt;_x000d__x000a_        &amp;lt;IsOriginal&amp;gt;true&amp;lt;/IsOriginal&amp;gt;_x000d__x000a_        &amp;lt;IsDeleted&amp;gt;false&amp;lt;/IsDeleted&amp;gt;_x000d__x000a_        &amp;lt;CaseName&amp;gt;אסחאק גובראן ואח&amp;#39; נ&amp;#39; קזמוז&amp;lt;/CaseName&amp;gt;_x000d__x000a_        &amp;lt;CaseDisplayIdentifier&amp;gt;6687-02-24 עמ&amp;quot;ש&amp;lt;/CaseDisplayIdentifier&amp;gt;_x000d__x000a_      &amp;lt;/dt_DecisionCase&amp;gt;_x000d__x000a_      &amp;lt;dt_DecisionJudgePanel diffgr:id=&amp;quot;dt_DecisionJudgePanel1&amp;quot; msdata:rowOrder=&amp;quot;0&amp;quot;&amp;gt;_x000d__x000a_        &amp;lt;DecisionID&amp;gt;152280621&amp;lt;/DecisionID&amp;gt;_x000d__x000a_        &amp;lt;JudgeID&amp;gt;056479827@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280621&amp;lt;/DecisionID&amp;gt;_x000d__x000a_        &amp;lt;JudgeID&amp;gt;057955775@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280621&amp;lt;/DecisionID&amp;gt;_x000d__x000a_        &amp;lt;JudgeID&amp;gt;058677980@GOV.IL&amp;lt;/JudgeID&amp;gt;_x000d__x000a_        &amp;lt;OrdinalNumber&amp;gt;3&amp;lt;/OrdinalNumber&amp;gt;_x000d__x000a_      &amp;lt;/dt_DecisionJudgePanel&amp;gt;_x000d__x000a_    &amp;lt;/DecisionDS&amp;gt;_x000d__x000a_  &amp;lt;/diffgr:diffgram&amp;gt;_x000d__x000a_&amp;lt;/DecisionDS&amp;gt;"/>
    <w:docVar w:name="DecisionID" w:val="152280621"/>
    <w:docVar w:name="docID" w:val="446041223"/>
    <w:docVar w:name="judgeUPN" w:val="056479827@GOV.IL"/>
    <w:docVar w:name="NGCS.TemplateCaseInterestID" w:val="10514"/>
    <w:docVar w:name="NGCS.TemplateCaseTypeID" w:val="63"/>
    <w:docVar w:name="NGCS.TemplateCourtID" w:val="13"/>
    <w:docVar w:name="NGCS.TemplateProceedingID" w:val="14"/>
    <w:docVar w:name="noteDocID" w:val="446041223"/>
    <w:docVar w:name="WordClientAssemblyName" w:val="NGCS.Decision.ClientWordBL"/>
    <w:docVar w:name="WordClientClassName" w:val="NGCS.Decision.ClientWordBL.JudgePanelSignDecisionClient"/>
  </w:docVars>
  <w:rsids>
    <w:rsidRoot w:val="00694556"/>
    <w:rsid w:val="00000062"/>
    <w:rsid w:val="0000226B"/>
    <w:rsid w:val="00005C8B"/>
    <w:rsid w:val="000529D2"/>
    <w:rsid w:val="000564AB"/>
    <w:rsid w:val="00064FBD"/>
    <w:rsid w:val="00082AB2"/>
    <w:rsid w:val="00084D20"/>
    <w:rsid w:val="00087A57"/>
    <w:rsid w:val="000906FE"/>
    <w:rsid w:val="00096AF7"/>
    <w:rsid w:val="000B344B"/>
    <w:rsid w:val="000C3B0F"/>
    <w:rsid w:val="000C3B60"/>
    <w:rsid w:val="000C790A"/>
    <w:rsid w:val="000E0DD2"/>
    <w:rsid w:val="000E3AF1"/>
    <w:rsid w:val="000F0BC8"/>
    <w:rsid w:val="000F0DD6"/>
    <w:rsid w:val="00107E6D"/>
    <w:rsid w:val="0011194C"/>
    <w:rsid w:val="0011424C"/>
    <w:rsid w:val="001173C6"/>
    <w:rsid w:val="00122A9F"/>
    <w:rsid w:val="001367BC"/>
    <w:rsid w:val="00144D2A"/>
    <w:rsid w:val="0014653E"/>
    <w:rsid w:val="00175327"/>
    <w:rsid w:val="00180519"/>
    <w:rsid w:val="0018520D"/>
    <w:rsid w:val="00191C82"/>
    <w:rsid w:val="001C4003"/>
    <w:rsid w:val="001C591C"/>
    <w:rsid w:val="001D4DBF"/>
    <w:rsid w:val="001E75CA"/>
    <w:rsid w:val="00206350"/>
    <w:rsid w:val="002265FF"/>
    <w:rsid w:val="00232914"/>
    <w:rsid w:val="00271B56"/>
    <w:rsid w:val="00272E32"/>
    <w:rsid w:val="002C344E"/>
    <w:rsid w:val="002E75E9"/>
    <w:rsid w:val="002F0B1E"/>
    <w:rsid w:val="00307A6A"/>
    <w:rsid w:val="00307C40"/>
    <w:rsid w:val="00320433"/>
    <w:rsid w:val="003230C7"/>
    <w:rsid w:val="00327E50"/>
    <w:rsid w:val="0033597A"/>
    <w:rsid w:val="00343D89"/>
    <w:rsid w:val="00362612"/>
    <w:rsid w:val="00364DDD"/>
    <w:rsid w:val="0036743F"/>
    <w:rsid w:val="003715DD"/>
    <w:rsid w:val="003823E0"/>
    <w:rsid w:val="003A4521"/>
    <w:rsid w:val="003D1C8C"/>
    <w:rsid w:val="003E38C7"/>
    <w:rsid w:val="0040096C"/>
    <w:rsid w:val="00414F1F"/>
    <w:rsid w:val="00422BEE"/>
    <w:rsid w:val="00424313"/>
    <w:rsid w:val="0043125D"/>
    <w:rsid w:val="00432342"/>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445B"/>
    <w:rsid w:val="00547DB7"/>
    <w:rsid w:val="00557717"/>
    <w:rsid w:val="00576A86"/>
    <w:rsid w:val="005A79ED"/>
    <w:rsid w:val="005F4F09"/>
    <w:rsid w:val="00603F73"/>
    <w:rsid w:val="0061431B"/>
    <w:rsid w:val="00622BAA"/>
    <w:rsid w:val="006306CF"/>
    <w:rsid w:val="00642B16"/>
    <w:rsid w:val="00644E9A"/>
    <w:rsid w:val="00671BD5"/>
    <w:rsid w:val="006805C1"/>
    <w:rsid w:val="00686C21"/>
    <w:rsid w:val="006910D6"/>
    <w:rsid w:val="006931C1"/>
    <w:rsid w:val="00694556"/>
    <w:rsid w:val="006C30C5"/>
    <w:rsid w:val="006D3B31"/>
    <w:rsid w:val="006D4AC5"/>
    <w:rsid w:val="006E0D96"/>
    <w:rsid w:val="006E1A53"/>
    <w:rsid w:val="006F56E6"/>
    <w:rsid w:val="00704EDA"/>
    <w:rsid w:val="00721122"/>
    <w:rsid w:val="0073452D"/>
    <w:rsid w:val="00734689"/>
    <w:rsid w:val="007351F7"/>
    <w:rsid w:val="00753019"/>
    <w:rsid w:val="00754801"/>
    <w:rsid w:val="00761441"/>
    <w:rsid w:val="00792DDE"/>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600"/>
    <w:rsid w:val="00863F5D"/>
    <w:rsid w:val="00870890"/>
    <w:rsid w:val="00873602"/>
    <w:rsid w:val="00875D12"/>
    <w:rsid w:val="00876170"/>
    <w:rsid w:val="0088479D"/>
    <w:rsid w:val="00891F42"/>
    <w:rsid w:val="00896889"/>
    <w:rsid w:val="008A6E97"/>
    <w:rsid w:val="008C1846"/>
    <w:rsid w:val="008C5714"/>
    <w:rsid w:val="008D10B2"/>
    <w:rsid w:val="00903896"/>
    <w:rsid w:val="00906F3D"/>
    <w:rsid w:val="0094424E"/>
    <w:rsid w:val="00955642"/>
    <w:rsid w:val="009622DF"/>
    <w:rsid w:val="0096493F"/>
    <w:rsid w:val="00967DFF"/>
    <w:rsid w:val="00994341"/>
    <w:rsid w:val="009A3EF5"/>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1020"/>
    <w:rsid w:val="00AF7FDA"/>
    <w:rsid w:val="00B1750E"/>
    <w:rsid w:val="00B5356E"/>
    <w:rsid w:val="00B809AD"/>
    <w:rsid w:val="00B80CBD"/>
    <w:rsid w:val="00B859C5"/>
    <w:rsid w:val="00B86096"/>
    <w:rsid w:val="00B964D9"/>
    <w:rsid w:val="00B966BE"/>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82597"/>
    <w:rsid w:val="00CC7622"/>
    <w:rsid w:val="00CD608F"/>
    <w:rsid w:val="00CF6BB7"/>
    <w:rsid w:val="00D04AA4"/>
    <w:rsid w:val="00D20FE4"/>
    <w:rsid w:val="00D27982"/>
    <w:rsid w:val="00D33B86"/>
    <w:rsid w:val="00D44968"/>
    <w:rsid w:val="00D513AA"/>
    <w:rsid w:val="00D53924"/>
    <w:rsid w:val="00D55D0C"/>
    <w:rsid w:val="00D96D8C"/>
    <w:rsid w:val="00DA2495"/>
    <w:rsid w:val="00DA6649"/>
    <w:rsid w:val="00DB3F1B"/>
    <w:rsid w:val="00DC1259"/>
    <w:rsid w:val="00DC1BD2"/>
    <w:rsid w:val="00DC2571"/>
    <w:rsid w:val="00DC487C"/>
    <w:rsid w:val="00DD05A8"/>
    <w:rsid w:val="00DD4335"/>
    <w:rsid w:val="00DE1E7D"/>
    <w:rsid w:val="00DE6BF6"/>
    <w:rsid w:val="00E00709"/>
    <w:rsid w:val="00E01B3D"/>
    <w:rsid w:val="00E1068A"/>
    <w:rsid w:val="00E25884"/>
    <w:rsid w:val="00E25B55"/>
    <w:rsid w:val="00E25D37"/>
    <w:rsid w:val="00E31C2B"/>
    <w:rsid w:val="00E5426A"/>
    <w:rsid w:val="00E54642"/>
    <w:rsid w:val="00E80CBE"/>
    <w:rsid w:val="00E9269D"/>
    <w:rsid w:val="00E94E05"/>
    <w:rsid w:val="00E962E3"/>
    <w:rsid w:val="00EB6B1D"/>
    <w:rsid w:val="00EB6C79"/>
    <w:rsid w:val="00EC37E9"/>
    <w:rsid w:val="00F038D8"/>
    <w:rsid w:val="00F06995"/>
    <w:rsid w:val="00F12D66"/>
    <w:rsid w:val="00F13623"/>
    <w:rsid w:val="00F13F23"/>
    <w:rsid w:val="00F44D1D"/>
    <w:rsid w:val="00F6357D"/>
    <w:rsid w:val="00F84B6D"/>
    <w:rsid w:val="00F957E8"/>
    <w:rsid w:val="00FA311A"/>
    <w:rsid w:val="00FA5FDA"/>
    <w:rsid w:val="00FB6AB3"/>
    <w:rsid w:val="00FD1419"/>
    <w:rsid w:val="00FD3729"/>
    <w:rsid w:val="00FD79E4"/>
    <w:rsid w:val="00FE2894"/>
    <w:rsid w:val="00FF21A2"/>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D513A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07/relationships/hdphoto" Target="media/hdphoto1.wdp"/><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285CCC5D9C940BDBCD1089F7339580D"/>
        <w:category>
          <w:name w:val="כללי"/>
          <w:gallery w:val="placeholder"/>
        </w:category>
        <w:types>
          <w:type w:val="bbPlcHdr"/>
        </w:types>
        <w:behaviors>
          <w:behavior w:val="content"/>
        </w:behaviors>
        <w:guid w:val="{00FE5C62-6CEF-4D5C-8F8A-446049A83F6C}"/>
      </w:docPartPr>
      <w:docPartBody>
        <w:p w:rsidR="009133C7" w:rsidRDefault="00AA7CE3">
          <w:r w:rsidRPr="00D47A1C">
            <w:rPr>
              <w:rStyle w:val="a3"/>
              <w:rtl/>
            </w:rPr>
            <w:t>לחץ כאן להזנת טקסט</w:t>
          </w:r>
          <w:r w:rsidRPr="00D47A1C">
            <w:rPr>
              <w:rStyle w:val="a3"/>
            </w:rPr>
            <w:t>.</w:t>
          </w:r>
        </w:p>
      </w:docPartBody>
    </w:docPart>
    <w:docPart>
      <w:docPartPr>
        <w:name w:val="05853EEE1A7548759250C756720CE766"/>
        <w:category>
          <w:name w:val="כללי"/>
          <w:gallery w:val="placeholder"/>
        </w:category>
        <w:types>
          <w:type w:val="bbPlcHdr"/>
        </w:types>
        <w:behaviors>
          <w:behavior w:val="content"/>
        </w:behaviors>
        <w:guid w:val="{34721789-491D-4FAD-B596-122A3A818ECF}"/>
      </w:docPartPr>
      <w:docPartBody>
        <w:p w:rsidR="00345C9D" w:rsidRDefault="006377AB" w:rsidP="006377AB">
          <w:pPr>
            <w:pStyle w:val="E460D38E05664FF79D4EFF282EF8EC9927"/>
          </w:pPr>
          <w:r>
            <w:rPr>
              <w:rFonts w:hint="cs"/>
              <w:rtl/>
            </w:rPr>
            <w:t xml:space="preserve">     </w:t>
          </w:r>
        </w:p>
      </w:docPartBody>
    </w:docPart>
    <w:docPart>
      <w:docPartPr>
        <w:name w:val="CEE0AF951345467EA068F658537E069F"/>
        <w:category>
          <w:name w:val="כללי"/>
          <w:gallery w:val="placeholder"/>
        </w:category>
        <w:types>
          <w:type w:val="bbPlcHdr"/>
        </w:types>
        <w:behaviors>
          <w:behavior w:val="content"/>
        </w:behaviors>
        <w:guid w:val="{E2204C41-D827-4299-8393-4C46282AF7E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0181649DAB574B21B3A04941FA4FB49F"/>
        <w:category>
          <w:name w:val="כללי"/>
          <w:gallery w:val="placeholder"/>
        </w:category>
        <w:types>
          <w:type w:val="bbPlcHdr"/>
        </w:types>
        <w:behaviors>
          <w:behavior w:val="content"/>
        </w:behaviors>
        <w:guid w:val="{6428107A-B112-4113-8C4C-0E91AC2E06A9}"/>
      </w:docPartPr>
      <w:docPartBody>
        <w:p w:rsidR="007E254A" w:rsidRDefault="00F04DC1" w:rsidP="00F04DC1">
          <w:pPr>
            <w:pStyle w:val="4CB7196AAF294F94B2C6087C9BF06E84"/>
          </w:pPr>
          <w:r w:rsidRPr="005929DA">
            <w:rPr>
              <w:rStyle w:val="a3"/>
              <w:rtl/>
            </w:rPr>
            <w:t>לחץ כאן להזנת טקסט</w:t>
          </w:r>
          <w:r w:rsidRPr="005929DA">
            <w:rPr>
              <w:rStyle w:val="a3"/>
            </w:rPr>
            <w:t>.</w:t>
          </w:r>
        </w:p>
      </w:docPartBody>
    </w:docPart>
    <w:docPart>
      <w:docPartPr>
        <w:name w:val="FB190806127F400B8C5252956F1E34CA"/>
        <w:category>
          <w:name w:val="כללי"/>
          <w:gallery w:val="placeholder"/>
        </w:category>
        <w:types>
          <w:type w:val="bbPlcHdr"/>
        </w:types>
        <w:behaviors>
          <w:behavior w:val="content"/>
        </w:behaviors>
        <w:guid w:val="{A711A646-ED19-42F1-8EA7-7D122865CE82}"/>
      </w:docPartPr>
      <w:docPartBody>
        <w:p w:rsidR="007E254A" w:rsidRDefault="006377AB" w:rsidP="006377AB">
          <w:pPr>
            <w:pStyle w:val="E6E6A917CC5E4519A8F2E864C48E22F215"/>
          </w:pPr>
          <w:r w:rsidRPr="00CD608F">
            <w:rPr>
              <w:rFonts w:hint="eastAsia"/>
              <w:b/>
              <w:bCs/>
              <w:sz w:val="26"/>
              <w:szCs w:val="26"/>
              <w:rtl/>
            </w:rPr>
            <w:t>בעניין</w:t>
          </w:r>
          <w:r w:rsidRPr="00CD608F">
            <w:rPr>
              <w:b/>
              <w:bCs/>
              <w:sz w:val="26"/>
              <w:szCs w:val="26"/>
              <w:rtl/>
            </w:rPr>
            <w:t xml:space="preserve"> שם פרטי</w:t>
          </w:r>
        </w:p>
      </w:docPartBody>
    </w:docPart>
    <w:docPart>
      <w:docPartPr>
        <w:name w:val="BE85E1C7A3004D52A5F7ED65BCD4A2F3"/>
        <w:category>
          <w:name w:val="כללי"/>
          <w:gallery w:val="placeholder"/>
        </w:category>
        <w:types>
          <w:type w:val="bbPlcHdr"/>
        </w:types>
        <w:behaviors>
          <w:behavior w:val="content"/>
        </w:behaviors>
        <w:guid w:val="{CD338874-9546-4D2B-AE0F-4920CF1C5D41}"/>
      </w:docPartPr>
      <w:docPartBody>
        <w:p w:rsidR="007E254A" w:rsidRDefault="006377AB" w:rsidP="006377AB">
          <w:pPr>
            <w:pStyle w:val="9DC4FF55E52B4E209349FC40470DD41815"/>
          </w:pPr>
          <w:r w:rsidRPr="00CD608F">
            <w:rPr>
              <w:rFonts w:hint="eastAsia"/>
              <w:b/>
              <w:bCs/>
              <w:sz w:val="26"/>
              <w:szCs w:val="26"/>
              <w:rtl/>
            </w:rPr>
            <w:t>בעניין</w:t>
          </w:r>
          <w:r w:rsidRPr="00CD608F">
            <w:rPr>
              <w:b/>
              <w:bCs/>
              <w:sz w:val="26"/>
              <w:szCs w:val="26"/>
              <w:rtl/>
            </w:rPr>
            <w:t xml:space="preserve"> שם משפחה</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ED33FF" w:rsidRDefault="00AC62CD">
          <w:pPr>
            <w:pStyle w:val="0181649DAB574B21B3A04941FA4FB49F"/>
          </w:pPr>
          <w:r>
            <w:rPr>
              <w:b/>
              <w:bCs/>
              <w:rtl/>
            </w:rPr>
            <w:t>סוג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41010"/>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C62CD"/>
    <w:rsid w:val="00AD53D7"/>
    <w:rsid w:val="00B50DB2"/>
    <w:rsid w:val="00B91FA3"/>
    <w:rsid w:val="00BE6557"/>
    <w:rsid w:val="00C96C06"/>
    <w:rsid w:val="00CC1914"/>
    <w:rsid w:val="00CE1DCB"/>
    <w:rsid w:val="00D24521"/>
    <w:rsid w:val="00E31BF6"/>
    <w:rsid w:val="00E81DB1"/>
    <w:rsid w:val="00ED33FF"/>
    <w:rsid w:val="00F00DF8"/>
    <w:rsid w:val="00F04DC1"/>
    <w:rsid w:val="00F678CA"/>
    <w:rsid w:val="00FD2699"/>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285CCC5D9C940BDBCD1089F7339580D">
    <w:name w:val="9285CCC5D9C940BDBCD1089F7339580D"/>
    <w:pPr>
      <w:bidi/>
    </w:pPr>
  </w:style>
  <w:style w:type="paragraph" w:customStyle="1" w:styleId="05853EEE1A7548759250C756720CE766">
    <w:name w:val="05853EEE1A7548759250C756720CE766"/>
    <w:pPr>
      <w:bidi/>
    </w:pPr>
  </w:style>
  <w:style w:type="paragraph" w:customStyle="1" w:styleId="CEE0AF951345467EA068F658537E069F">
    <w:name w:val="CEE0AF951345467EA068F658537E069F"/>
    <w:pPr>
      <w:bidi/>
    </w:pPr>
  </w:style>
  <w:style w:type="paragraph" w:customStyle="1" w:styleId="0181649DAB574B21B3A04941FA4FB49F">
    <w:name w:val="0181649DAB574B21B3A04941FA4FB49F"/>
    <w:pPr>
      <w:bidi/>
    </w:pPr>
  </w:style>
  <w:style w:type="paragraph" w:customStyle="1" w:styleId="FB190806127F400B8C5252956F1E34CA">
    <w:name w:val="FB190806127F400B8C5252956F1E34CA"/>
    <w:pPr>
      <w:bidi/>
    </w:pPr>
  </w:style>
  <w:style w:type="paragraph" w:customStyle="1" w:styleId="BE85E1C7A3004D52A5F7ED65BCD4A2F3">
    <w:name w:val="BE85E1C7A3004D52A5F7ED65BCD4A2F3"/>
    <w:pPr>
      <w:bidi/>
    </w:pPr>
  </w:style>
  <w:style w:type="paragraph" w:customStyle="1" w:styleId="8A0F62FC3D1C400A89FE4DD05081CF03">
    <w:name w:val="8A0F62FC3D1C400A89FE4DD05081CF03"/>
    <w:pPr>
      <w:bidi/>
    </w:pPr>
  </w:style>
  <w:style w:type="paragraph" w:customStyle="1" w:styleId="A1ED51EDA0354B43A24B6C8C4ED2CC97">
    <w:name w:val="A1ED51EDA0354B43A24B6C8C4ED2CC97"/>
    <w:pPr>
      <w:bidi/>
    </w:pPr>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80965448</CaseID>
    <CaseJudicialPersonPresentationDS>
      <CaseJudicalPersonActive>
        <CaseID>80965448</CaseID>
        <JudicialPersonID>056479827@GOV.IL</JudicialPersonID>
        <JudicialPersonTypeID>1</JudicialPersonTypeID>
        <JudicialTypeID>3</JudicialTypeID>
        <IsChairman>true</IsChairman>
        <TreatmentStartDate>2024-02-14T09:49:24.833+02:00</TreatmentStartDate>
        <TreatmentFinishDate>9999-12-31T23:59:59.997+02:00</TreatmentFinishDate>
        <IdentificationCardNumber>056479827</IdentificationCardNumber>
        <DisplayName>חננאל שרעבי</DisplayName>
        <JudicialTypeName>הרכב שופטים</JudicialTypeName>
        <CaseJudicialGroupNumber>568534</CaseJudicialGroupNumber>
        <FirstName>חננאל</FirstName>
        <LastName>שרעבי</LastName>
        <JudicialPersonTitle>שופט</JudicialPersonTitle>
      </CaseJudicalPersonActive>
      <CaseJudicalPersonActive>
        <CaseID>80965448</CaseID>
        <JudicialPersonID>057955775@GOV.IL</JudicialPersonID>
        <JudicialPersonTypeID>1</JudicialPersonTypeID>
        <JudicialTypeID>3</JudicialTypeID>
        <IsChairman>false</IsChairman>
        <TreatmentStartDate>2024-02-14T09:49:24.833+02:00</TreatmentStartDate>
        <TreatmentFinishDate>9999-12-31T23:59:59.997+02:00</TreatmentFinishDate>
        <IdentificationCardNumber>057955775</IdentificationCardNumber>
        <DisplayName>אספרנצה אלון</DisplayName>
        <JudicialTypeName>הרכב שופטים</JudicialTypeName>
        <CaseJudicialGroupNumber>568534</CaseJudicialGroupNumber>
        <FirstName>אספרנצה</FirstName>
        <LastName>אלון</LastName>
        <JudicialPersonTitle>שופט</JudicialPersonTitle>
      </CaseJudicalPersonActive>
      <CaseJudicalPersonActive>
        <CaseID>80965448</CaseID>
        <JudicialPersonID>058677980@GOV.IL</JudicialPersonID>
        <JudicialPersonTypeID>1</JudicialPersonTypeID>
        <JudicialTypeID>3</JudicialTypeID>
        <IsChairman>false</IsChairman>
        <TreatmentStartDate>2024-02-14T09:49:24.833+02:00</TreatmentStartDate>
        <TreatmentFinishDate>9999-12-31T23:59:59.997+02:00</TreatmentFinishDate>
        <IdentificationCardNumber>058677980</IdentificationCardNumber>
        <DisplayName>אריה נאמן</DisplayName>
        <JudicialTypeName>הרכב שופטים</JudicialTypeName>
        <CaseJudicialGroupNumber>568534</CaseJudicialGroupNumber>
        <FirstName>אריה</FirstName>
        <LastName>נאמן</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מאיסא אסחאק גובראן</FullName>
        <FirstName>מאיסא</FirstName>
        <LastName>ג'ובראן</LastName>
        <PartyPropertyName/>
        <AuthenticationTypeAndNumber>ת"ז 200600732</AuthenticationTypeAndNumber>
        <RepresentatedOrRepresentativesNames>אסמר ויסאם</RepresentatedOrRepresentativesNames>
        <RepresentatedOrRepresentativesCount>1</RepresentatedOrRepresentativesCount>
        <InvitedBy/>
        <CaseID>80965448</CaseID>
        <CaseJudicialPersonPresentationDS>
          <CaseJudicalPersonActive>
            <CaseID>80965448</CaseID>
            <JudicialPersonID>056479827@GOV.IL</JudicialPersonID>
            <JudicialPersonTypeID>1</JudicialPersonTypeID>
            <JudicialTypeID>3</JudicialTypeID>
            <IsChairman>true</IsChairman>
            <TreatmentStartDate>2024-02-14T09:49:24.833+02:00</TreatmentStartDate>
            <TreatmentFinishDate>9999-12-31T23:59:59.997+02:00</TreatmentFinishDate>
            <IdentificationCardNumber>056479827</IdentificationCardNumber>
            <DisplayName>חננאל שרעבי</DisplayName>
            <JudicialTypeName>הרכב שופטים</JudicialTypeName>
            <CaseJudicialGroupNumber>568534</CaseJudicialGroupNumber>
            <FirstName>חננאל</FirstName>
            <LastName>שרעבי</LastName>
            <JudicialPersonTitle>שופט</JudicialPersonTitle>
          </CaseJudicalPersonActive>
          <CaseJudicalPersonActive>
            <CaseID>80965448</CaseID>
            <JudicialPersonID>057955775@GOV.IL</JudicialPersonID>
            <JudicialPersonTypeID>1</JudicialPersonTypeID>
            <JudicialTypeID>3</JudicialTypeID>
            <IsChairman>false</IsChairman>
            <TreatmentStartDate>2024-02-14T09:49:24.833+02:00</TreatmentStartDate>
            <TreatmentFinishDate>9999-12-31T23:59:59.997+02:00</TreatmentFinishDate>
            <IdentificationCardNumber>057955775</IdentificationCardNumber>
            <DisplayName>אספרנצה אלון</DisplayName>
            <JudicialTypeName>הרכב שופטים</JudicialTypeName>
            <CaseJudicialGroupNumber>568534</CaseJudicialGroupNumber>
            <FirstName>אספרנצה</FirstName>
            <LastName>אלון</LastName>
            <JudicialPersonTitle>שופט</JudicialPersonTitle>
          </CaseJudicalPersonActive>
          <CaseJudicalPersonActive>
            <CaseID>80965448</CaseID>
            <JudicialPersonID>058677980@GOV.IL</JudicialPersonID>
            <JudicialPersonTypeID>1</JudicialPersonTypeID>
            <JudicialTypeID>3</JudicialTypeID>
            <IsChairman>false</IsChairman>
            <TreatmentStartDate>2024-02-14T09:49:24.833+02:00</TreatmentStartDate>
            <TreatmentFinishDate>9999-12-31T23:59:59.997+02:00</TreatmentFinishDate>
            <IdentificationCardNumber>058677980</IdentificationCardNumber>
            <DisplayName>אריה נאמן</DisplayName>
            <JudicialTypeName>הרכב שופטים</JudicialTypeName>
            <CaseJudicialGroupNumber>568534</CaseJudicialGroupNumber>
            <FirstName>אריה</FirstName>
            <LastName>נאמן</LastName>
            <JudicialPersonTitle>שופט</JudicialPersonTitle>
          </CaseJudicalPersonActive>
        </CaseJudicialPersonPresentationDS>
        <CasePartyID>265903244</CasePartyID>
        <PartyTypeID>1</PartyTypeID>
        <ActivityStatusID>1</ActivityStatusID>
        <PartyAliasID>5</PartyAliasID>
        <PartyAliasName>מערער</PartyAliasName>
        <OrdinalNumber>1</OrdinalNumber>
        <LegalEntityID>6230476</LegalEntityID>
        <CaseLegalEntityID>127637198</CaseLegalEntityID>
        <AuthenticationTypeID>1</AuthenticationTypeID>
        <AuthenticationTypeName>ת"ז</AuthenticationTypeName>
        <LegalEntityNumber>200600732</LegalEntityNumber>
        <IsMainPartyType>true</IsMainPartyType>
        <CaseDisplayIdentifier>6687-02-24</CaseDisplayIdentifier>
        <CaseTypeID>63</CaseTypeID>
        <CaseTypeName>ערעור משפחה (עמ"ש)</CaseTypeName>
        <CaseName>אסחאק גובראן ואח' נ' קזמוז</CaseName>
        <FullAddress>לבונטיו 15 חיפה </FullAddress>
        <MotionID>0</MotionID>
        <CasePleaID>0</CasePleaID>
        <FatherName>אלכסנדר</FatherName>
        <LinkedCaseID>0</LinkedCaseID>
        <PartyID>1</PartyID>
        <CasePartyCategoryID>2</CasePartyCategoryID>
        <LegalEntityAddressID>88919265</LegalEntityAddressID>
        <PleaTypeID>6</PleaTypeID>
        <GroupPartyAlias>מערערים</GroupPartyAlias>
        <IsConverted>false</IsConverted>
        <LegalEntityRegisteredNameID>5042788</LegalEntityRegisteredNameID>
        <LegalEntityNameID>96101277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מאיסא אסחאק גובראן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אסמר ויסאם</FullName>
        <FirstName>אסמר</FirstName>
        <LastName>ויסאם</LastName>
        <PartyPropertyName/>
        <AuthenticationTypeAndNumber>מ.ר. 16521</AuthenticationTypeAndNumber>
        <RepresentatedOrRepresentativesNames>מאיסא אסחאק גובראן, אלכסנדר אסחק</RepresentatedOrRepresentativesNames>
        <RepresentatedOrRepresentativesCount>2</RepresentatedOrRepresentativesCount>
        <InvitedBy/>
        <CaseID>80965448</CaseID>
        <CaseJudicialPersonPresentationDS>
          <CaseJudicalPersonActive>
            <CaseID>80965448</CaseID>
            <JudicialPersonID>056479827@GOV.IL</JudicialPersonID>
            <JudicialPersonTypeID>1</JudicialPersonTypeID>
            <JudicialTypeID>3</JudicialTypeID>
            <IsChairman>true</IsChairman>
            <TreatmentStartDate>2024-02-14T09:49:24.833+02:00</TreatmentStartDate>
            <TreatmentFinishDate>9999-12-31T23:59:59.997+02:00</TreatmentFinishDate>
            <IdentificationCardNumber>056479827</IdentificationCardNumber>
            <DisplayName>חננאל שרעבי</DisplayName>
            <JudicialTypeName>הרכב שופטים</JudicialTypeName>
            <CaseJudicialGroupNumber>568534</CaseJudicialGroupNumber>
            <FirstName>חננאל</FirstName>
            <LastName>שרעבי</LastName>
            <JudicialPersonTitle>שופט</JudicialPersonTitle>
          </CaseJudicalPersonActive>
          <CaseJudicalPersonActive>
            <CaseID>80965448</CaseID>
            <JudicialPersonID>057955775@GOV.IL</JudicialPersonID>
            <JudicialPersonTypeID>1</JudicialPersonTypeID>
            <JudicialTypeID>3</JudicialTypeID>
            <IsChairman>false</IsChairman>
            <TreatmentStartDate>2024-02-14T09:49:24.833+02:00</TreatmentStartDate>
            <TreatmentFinishDate>9999-12-31T23:59:59.997+02:00</TreatmentFinishDate>
            <IdentificationCardNumber>057955775</IdentificationCardNumber>
            <DisplayName>אספרנצה אלון</DisplayName>
            <JudicialTypeName>הרכב שופטים</JudicialTypeName>
            <CaseJudicialGroupNumber>568534</CaseJudicialGroupNumber>
            <FirstName>אספרנצה</FirstName>
            <LastName>אלון</LastName>
            <JudicialPersonTitle>שופט</JudicialPersonTitle>
          </CaseJudicalPersonActive>
          <CaseJudicalPersonActive>
            <CaseID>80965448</CaseID>
            <JudicialPersonID>058677980@GOV.IL</JudicialPersonID>
            <JudicialPersonTypeID>1</JudicialPersonTypeID>
            <JudicialTypeID>3</JudicialTypeID>
            <IsChairman>false</IsChairman>
            <TreatmentStartDate>2024-02-14T09:49:24.833+02:00</TreatmentStartDate>
            <TreatmentFinishDate>9999-12-31T23:59:59.997+02:00</TreatmentFinishDate>
            <IdentificationCardNumber>058677980</IdentificationCardNumber>
            <DisplayName>אריה נאמן</DisplayName>
            <JudicialTypeName>הרכב שופטים</JudicialTypeName>
            <CaseJudicialGroupNumber>568534</CaseJudicialGroupNumber>
            <FirstName>אריה</FirstName>
            <LastName>נאמן</LastName>
            <JudicialPersonTitle>שופט</JudicialPersonTitle>
          </CaseJudicalPersonActive>
        </CaseJudicialPersonPresentationDS>
        <CasePartyID>265903247</CasePartyID>
        <PartyTypeID>2</PartyTypeID>
        <ActivityStatusID>1</ActivityStatusID>
        <PartyAliasID>24</PartyAliasID>
        <PartyAliasName>בא כוח מערערים</PartyAliasName>
        <OrdinalNumber>1</OrdinalNumber>
        <LegalEntityID>389312</LegalEntityID>
        <CaseLegalEntityID>127637201</CaseLegalEntityID>
        <AuthenticationTypeID>4</AuthenticationTypeID>
        <AuthenticationTypeName>מ.ר.</AuthenticationTypeName>
        <LegalEntityNumber>16521</LegalEntityNumber>
        <IsMainPartyType>true</IsMainPartyType>
        <CaseDisplayIdentifier>6687-02-24</CaseDisplayIdentifier>
        <CaseTypeID>63</CaseTypeID>
        <CaseTypeName>ערעור משפחה (עמ"ש)</CaseTypeName>
        <CaseName>אסחאק גובראן ואח' נ' קזמוז</CaseName>
        <FullAddress>פל ים 5 חיפה ת.ד. 33700__קומה 1</FullAddress>
        <EmailAddress>adv.asmar@gmail.com</EmailAddress>
        <MotionID>0</MotionID>
        <CasePleaID>0</CasePleaID>
        <LinkedCaseID>0</LinkedCaseID>
        <PartyID>1</PartyID>
        <CasePartyCategoryID>2</CasePartyCategoryID>
        <LegalEntityAddressID>71940985</LegalEntityAddressID>
        <LegalEntityEmailAddressID>67835646</LegalEntityEmailAddressID>
        <PleaTypeID>6</PleaTypeID>
        <LawyerOfficeName>משרד עו"ד: אסמר ויסאם</LawyerOfficeName>
        <LawyerOfficeID>429956</LawyerOfficeID>
        <GroupPartyAlias/>
        <IsConverted>false</IsConverted>
        <LegalEntityNameID>10296</LegalEntityNameID>
        <RepresentatedNamesOfAssistant/>
        <LegalEntityTypeID>4</LegalEntityTypeID>
        <IsVerdictExists>false</IsVerdictExists>
        <IsAsirAzir>false</IsAsirAzir>
        <IsPublicationProhibited>false</IsPublicationProhibited>
        <PublicationProhibitedFullName>אסמר ויסאם</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לולו קזמוז</FullName>
        <FirstName>לולו</FirstName>
        <LastName>קזמוז</LastName>
        <PartyPropertyName/>
        <AuthenticationTypeAndNumber>ת"ז 058593088</AuthenticationTypeAndNumber>
        <RepresentatedOrRepresentativesNames>יעקב ח'לול</RepresentatedOrRepresentativesNames>
        <RepresentatedOrRepresentativesCount>1</RepresentatedOrRepresentativesCount>
        <InvitedBy/>
        <CaseID>80965448</CaseID>
        <CaseJudicialPersonPresentationDS>
          <CaseJudicalPersonActive>
            <CaseID>80965448</CaseID>
            <JudicialPersonID>056479827@GOV.IL</JudicialPersonID>
            <JudicialPersonTypeID>1</JudicialPersonTypeID>
            <JudicialTypeID>3</JudicialTypeID>
            <IsChairman>true</IsChairman>
            <TreatmentStartDate>2024-02-14T09:49:24.833+02:00</TreatmentStartDate>
            <TreatmentFinishDate>9999-12-31T23:59:59.997+02:00</TreatmentFinishDate>
            <IdentificationCardNumber>056479827</IdentificationCardNumber>
            <DisplayName>חננאל שרעבי</DisplayName>
            <JudicialTypeName>הרכב שופטים</JudicialTypeName>
            <CaseJudicialGroupNumber>568534</CaseJudicialGroupNumber>
            <FirstName>חננאל</FirstName>
            <LastName>שרעבי</LastName>
            <JudicialPersonTitle>שופט</JudicialPersonTitle>
          </CaseJudicalPersonActive>
          <CaseJudicalPersonActive>
            <CaseID>80965448</CaseID>
            <JudicialPersonID>057955775@GOV.IL</JudicialPersonID>
            <JudicialPersonTypeID>1</JudicialPersonTypeID>
            <JudicialTypeID>3</JudicialTypeID>
            <IsChairman>false</IsChairman>
            <TreatmentStartDate>2024-02-14T09:49:24.833+02:00</TreatmentStartDate>
            <TreatmentFinishDate>9999-12-31T23:59:59.997+02:00</TreatmentFinishDate>
            <IdentificationCardNumber>057955775</IdentificationCardNumber>
            <DisplayName>אספרנצה אלון</DisplayName>
            <JudicialTypeName>הרכב שופטים</JudicialTypeName>
            <CaseJudicialGroupNumber>568534</CaseJudicialGroupNumber>
            <FirstName>אספרנצה</FirstName>
            <LastName>אלון</LastName>
            <JudicialPersonTitle>שופט</JudicialPersonTitle>
          </CaseJudicalPersonActive>
          <CaseJudicalPersonActive>
            <CaseID>80965448</CaseID>
            <JudicialPersonID>058677980@GOV.IL</JudicialPersonID>
            <JudicialPersonTypeID>1</JudicialPersonTypeID>
            <JudicialTypeID>3</JudicialTypeID>
            <IsChairman>false</IsChairman>
            <TreatmentStartDate>2024-02-14T09:49:24.833+02:00</TreatmentStartDate>
            <TreatmentFinishDate>9999-12-31T23:59:59.997+02:00</TreatmentFinishDate>
            <IdentificationCardNumber>058677980</IdentificationCardNumber>
            <DisplayName>אריה נאמן</DisplayName>
            <JudicialTypeName>הרכב שופטים</JudicialTypeName>
            <CaseJudicialGroupNumber>568534</CaseJudicialGroupNumber>
            <FirstName>אריה</FirstName>
            <LastName>נאמן</LastName>
            <JudicialPersonTitle>שופט</JudicialPersonTitle>
          </CaseJudicalPersonActive>
        </CaseJudicialPersonPresentationDS>
        <CasePartyID>265903246</CasePartyID>
        <PartyTypeID>1</PartyTypeID>
        <ActivityStatusID>1</ActivityStatusID>
        <PartyAliasID>4</PartyAliasID>
        <PartyAliasName>משיב</PartyAliasName>
        <OrdinalNumber>1</OrdinalNumber>
        <LegalEntityID>6205011</LegalEntityID>
        <CaseLegalEntityID>127637200</CaseLegalEntityID>
        <AuthenticationTypeID>1</AuthenticationTypeID>
        <AuthenticationTypeName>ת"ז</AuthenticationTypeName>
        <LegalEntityNumber>058593088</LegalEntityNumber>
        <IsMainPartyType>true</IsMainPartyType>
        <CaseDisplayIdentifier>6687-02-24</CaseDisplayIdentifier>
        <CaseTypeID>63</CaseTypeID>
        <CaseTypeName>ערעור משפחה (עמ"ש)</CaseTypeName>
        <CaseName>אסחאק גובראן ואח' נ' קזמוז</CaseName>
        <FullAddress>יוחנן הקדוש 28 חיפה </FullAddress>
        <MotionID>0</MotionID>
        <CasePleaID>0</CasePleaID>
        <FatherName>גירייס</FatherName>
        <LinkedCaseID>0</LinkedCaseID>
        <PartyID>2</PartyID>
        <CasePartyCategoryID>2</CasePartyCategoryID>
        <LegalEntityAddressID>86118870</LegalEntityAddressID>
        <PleaTypeID>6</PleaTypeID>
        <GroupPartyAlias>משיבים</GroupPartyAlias>
        <IsConverted>false</IsConverted>
        <LegalEntityRegisteredNameID>6118528</LegalEntityRegisteredNameID>
        <LegalEntityNameID>92606472</LegalEntityNameID>
        <RepresentatedNamesOfAssistant/>
        <LegalEntityTypeID>1</LegalEntityTypeID>
        <IsVerdictExists>false</IsVerdictExists>
        <IsAsirAzir>false</IsAsirAzir>
        <IsPublicationProhibited>false</IsPublicationProhibited>
        <PublicationProhibitedFullName>לולו קזמוז</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יעקב ח'לול</FullName>
        <FirstName>יעקב</FirstName>
        <LastName>ח'לול</LastName>
        <PartyPropertyName/>
        <AuthenticationTypeAndNumber>מ.ר. 56274</AuthenticationTypeAndNumber>
        <RepresentatedOrRepresentativesNames>לולו קזמוז</RepresentatedOrRepresentativesNames>
        <RepresentatedOrRepresentativesCount>1</RepresentatedOrRepresentativesCount>
        <InvitedBy/>
        <CaseID>80965448</CaseID>
        <CaseJudicialPersonPresentationDS>
          <CaseJudicalPersonActive>
            <CaseID>80965448</CaseID>
            <JudicialPersonID>056479827@GOV.IL</JudicialPersonID>
            <JudicialPersonTypeID>1</JudicialPersonTypeID>
            <JudicialTypeID>3</JudicialTypeID>
            <IsChairman>true</IsChairman>
            <TreatmentStartDate>2024-02-14T09:49:24.833+02:00</TreatmentStartDate>
            <TreatmentFinishDate>9999-12-31T23:59:59.997+02:00</TreatmentFinishDate>
            <IdentificationCardNumber>056479827</IdentificationCardNumber>
            <DisplayName>חננאל שרעבי</DisplayName>
            <JudicialTypeName>הרכב שופטים</JudicialTypeName>
            <CaseJudicialGroupNumber>568534</CaseJudicialGroupNumber>
            <FirstName>חננאל</FirstName>
            <LastName>שרעבי</LastName>
            <JudicialPersonTitle>שופט</JudicialPersonTitle>
          </CaseJudicalPersonActive>
          <CaseJudicalPersonActive>
            <CaseID>80965448</CaseID>
            <JudicialPersonID>057955775@GOV.IL</JudicialPersonID>
            <JudicialPersonTypeID>1</JudicialPersonTypeID>
            <JudicialTypeID>3</JudicialTypeID>
            <IsChairman>false</IsChairman>
            <TreatmentStartDate>2024-02-14T09:49:24.833+02:00</TreatmentStartDate>
            <TreatmentFinishDate>9999-12-31T23:59:59.997+02:00</TreatmentFinishDate>
            <IdentificationCardNumber>057955775</IdentificationCardNumber>
            <DisplayName>אספרנצה אלון</DisplayName>
            <JudicialTypeName>הרכב שופטים</JudicialTypeName>
            <CaseJudicialGroupNumber>568534</CaseJudicialGroupNumber>
            <FirstName>אספרנצה</FirstName>
            <LastName>אלון</LastName>
            <JudicialPersonTitle>שופט</JudicialPersonTitle>
          </CaseJudicalPersonActive>
          <CaseJudicalPersonActive>
            <CaseID>80965448</CaseID>
            <JudicialPersonID>058677980@GOV.IL</JudicialPersonID>
            <JudicialPersonTypeID>1</JudicialPersonTypeID>
            <JudicialTypeID>3</JudicialTypeID>
            <IsChairman>false</IsChairman>
            <TreatmentStartDate>2024-02-14T09:49:24.833+02:00</TreatmentStartDate>
            <TreatmentFinishDate>9999-12-31T23:59:59.997+02:00</TreatmentFinishDate>
            <IdentificationCardNumber>058677980</IdentificationCardNumber>
            <DisplayName>אריה נאמן</DisplayName>
            <JudicialTypeName>הרכב שופטים</JudicialTypeName>
            <CaseJudicialGroupNumber>568534</CaseJudicialGroupNumber>
            <FirstName>אריה</FirstName>
            <LastName>נאמן</LastName>
            <JudicialPersonTitle>שופט</JudicialPersonTitle>
          </CaseJudicalPersonActive>
        </CaseJudicialPersonPresentationDS>
        <CasePartyID>265903248</CasePartyID>
        <PartyTypeID>2</PartyTypeID>
        <ActivityStatusID>1</ActivityStatusID>
        <PartyAliasID>23</PartyAliasID>
        <PartyAliasName>בא כוח משיבים</PartyAliasName>
        <OrdinalNumber>1</OrdinalNumber>
        <LegalEntityID>69859231</LegalEntityID>
        <CaseLegalEntityID>127637202</CaseLegalEntityID>
        <AuthenticationTypeID>4</AuthenticationTypeID>
        <AuthenticationTypeName>מ.ר.</AuthenticationTypeName>
        <LegalEntityNumber>56274</LegalEntityNumber>
        <IsMainPartyType>true</IsMainPartyType>
        <CaseDisplayIdentifier>6687-02-24</CaseDisplayIdentifier>
        <CaseTypeID>63</CaseTypeID>
        <CaseTypeName>ערעור משפחה (עמ"ש)</CaseTypeName>
        <CaseName>אסחאק גובראן ואח' נ' קזמוז</CaseName>
        <FullAddress>העצמאות 43 חיפה </FullAddress>
        <MotionID>0</MotionID>
        <CasePleaID>0</CasePleaID>
        <LinkedCaseID>0</LinkedCaseID>
        <PartyID>2</PartyID>
        <CasePartyCategoryID>2</CasePartyCategoryID>
        <LegalEntityAddressID>76828826</LegalEntityAddressID>
        <PleaTypeID>6</PleaTypeID>
        <LawyerOfficeName>משרד עו"ד יעקב ח'לול</LawyerOfficeName>
        <LawyerOfficeID>69859232</LawyerOfficeID>
        <GroupPartyAlias/>
        <IsConverted>false</IsConverted>
        <LegalEntityNameID>78190804</LegalEntityNameID>
        <RepresentatedNamesOfAssistant/>
        <LegalEntityTypeID>4</LegalEntityTypeID>
        <IsVerdictExists>false</IsVerdictExists>
        <IsAsirAzir>false</IsAsirAzir>
        <IsPublicationProhibited>false</IsPublicationProhibited>
        <PublicationProhibitedFullName>יעקב ח'לול</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אלכסנדר אסחק</FullName>
        <FirstName>אלכסנדר</FirstName>
        <LastName>אסחק</LastName>
        <PartyPropertyName/>
        <AuthenticationTypeAndNumber>ת"ז 058975350</AuthenticationTypeAndNumber>
        <RepresentatedOrRepresentativesNames>אסמר ויסאם</RepresentatedOrRepresentativesNames>
        <RepresentatedOrRepresentativesCount>1</RepresentatedOrRepresentativesCount>
        <InvitedBy/>
        <CaseID>80965448</CaseID>
        <CaseJudicialPersonPresentationDS>
          <CaseJudicalPersonActive>
            <CaseID>80965448</CaseID>
            <JudicialPersonID>056479827@GOV.IL</JudicialPersonID>
            <JudicialPersonTypeID>1</JudicialPersonTypeID>
            <JudicialTypeID>3</JudicialTypeID>
            <IsChairman>true</IsChairman>
            <TreatmentStartDate>2024-02-14T09:49:24.833+02:00</TreatmentStartDate>
            <TreatmentFinishDate>9999-12-31T23:59:59.997+02:00</TreatmentFinishDate>
            <IdentificationCardNumber>056479827</IdentificationCardNumber>
            <DisplayName>חננאל שרעבי</DisplayName>
            <JudicialTypeName>הרכב שופטים</JudicialTypeName>
            <CaseJudicialGroupNumber>568534</CaseJudicialGroupNumber>
            <FirstName>חננאל</FirstName>
            <LastName>שרעבי</LastName>
            <JudicialPersonTitle>שופט</JudicialPersonTitle>
          </CaseJudicalPersonActive>
          <CaseJudicalPersonActive>
            <CaseID>80965448</CaseID>
            <JudicialPersonID>057955775@GOV.IL</JudicialPersonID>
            <JudicialPersonTypeID>1</JudicialPersonTypeID>
            <JudicialTypeID>3</JudicialTypeID>
            <IsChairman>false</IsChairman>
            <TreatmentStartDate>2024-02-14T09:49:24.833+02:00</TreatmentStartDate>
            <TreatmentFinishDate>9999-12-31T23:59:59.997+02:00</TreatmentFinishDate>
            <IdentificationCardNumber>057955775</IdentificationCardNumber>
            <DisplayName>אספרנצה אלון</DisplayName>
            <JudicialTypeName>הרכב שופטים</JudicialTypeName>
            <CaseJudicialGroupNumber>568534</CaseJudicialGroupNumber>
            <FirstName>אספרנצה</FirstName>
            <LastName>אלון</LastName>
            <JudicialPersonTitle>שופט</JudicialPersonTitle>
          </CaseJudicalPersonActive>
          <CaseJudicalPersonActive>
            <CaseID>80965448</CaseID>
            <JudicialPersonID>058677980@GOV.IL</JudicialPersonID>
            <JudicialPersonTypeID>1</JudicialPersonTypeID>
            <JudicialTypeID>3</JudicialTypeID>
            <IsChairman>false</IsChairman>
            <TreatmentStartDate>2024-02-14T09:49:24.833+02:00</TreatmentStartDate>
            <TreatmentFinishDate>9999-12-31T23:59:59.997+02:00</TreatmentFinishDate>
            <IdentificationCardNumber>058677980</IdentificationCardNumber>
            <DisplayName>אריה נאמן</DisplayName>
            <JudicialTypeName>הרכב שופטים</JudicialTypeName>
            <CaseJudicialGroupNumber>568534</CaseJudicialGroupNumber>
            <FirstName>אריה</FirstName>
            <LastName>נאמן</LastName>
            <JudicialPersonTitle>שופט</JudicialPersonTitle>
          </CaseJudicalPersonActive>
        </CaseJudicialPersonPresentationDS>
        <CasePartyID>265903245</CasePartyID>
        <PartyTypeID>1</PartyTypeID>
        <ActivityStatusID>1</ActivityStatusID>
        <PartyAliasID>5</PartyAliasID>
        <PartyAliasName>מערער</PartyAliasName>
        <OrdinalNumber>2</OrdinalNumber>
        <LegalEntityID>6206338</LegalEntityID>
        <CaseLegalEntityID>127637199</CaseLegalEntityID>
        <AuthenticationTypeID>1</AuthenticationTypeID>
        <AuthenticationTypeName>ת"ז</AuthenticationTypeName>
        <LegalEntityNumber>058975350</LegalEntityNumber>
        <IsMainPartyType>true</IsMainPartyType>
        <CaseDisplayIdentifier>6687-02-24</CaseDisplayIdentifier>
        <CaseTypeID>63</CaseTypeID>
        <CaseTypeName>ערעור משפחה (עמ"ש)</CaseTypeName>
        <CaseName>אסחאק גובראן ואח' נ' קזמוז</CaseName>
        <FullAddress>סטלה מאריס 18 חיפה </FullAddress>
        <MotionID>0</MotionID>
        <CasePleaID>0</CasePleaID>
        <FatherName>סובחי</FatherName>
        <LinkedCaseID>0</LinkedCaseID>
        <PartyID>1</PartyID>
        <CasePartyCategoryID>2</CasePartyCategoryID>
        <LegalEntityAddressID>86118872</LegalEntityAddressID>
        <PleaTypeID>6</PleaTypeID>
        <GroupPartyAlias>מערערים</GroupPartyAlias>
        <IsConverted>false</IsConverted>
        <LegalEntityRegisteredNameID>10642956</LegalEntityRegisteredNameID>
        <LegalEntityNameID>92606474</LegalEntityNameID>
        <RepresentatedNamesOfAssistant/>
        <LegalEntityTypeID>1</LegalEntityTypeID>
        <IsVerdictExists>false</IsVerdictExists>
        <IsAsirAzir>false</IsAsirAzir>
        <IsPublicationProhibited>false</IsPublicationProhibited>
        <PublicationProhibitedFullName>אלכסנדר אסחק</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true</IsCaseJudgePanel>
    <DecisionSignatureDate>2024-06-17T11:29:20.7813731+03:00</DecisionSignatureDate>
    <OpenCaseDate>2024-02-04T14:52:00+02:00</OpenCaseDate>
    <CaseFeeSum>0.000</CaseFeeSum>
    <DecisionTypeID>2</DecisionTypeID>
    <DecisionSignatureUserName>חננאל שרעבי</DecisionSignatureUserName>
    <DecisionSignatureDateHebrew>2024-06-17T11:29:20.7813731+03:00</DecisionSignatureDateHebrew>
    <DecisionWriterID>056479827@GOV.IL</DecisionWriterID>
    <CourtAddress>רח' פלי"ם 12 היכל המשפט, חיפה 33095</CourtAddress>
    <IsAutoTextInCaseExist>true</IsAutoTextInCaseExist>
    <DecisionSignatureRoleName>שופט</DecisionSignatureRoleName>
    <DecisionSignatureUserTitleName>שופט</DecisionSignatureUserTitleName>
    <CaseName>אסחאק גובראן ואח' נ' קזמוז</CaseName>
    <DecisionNumberInCase>5</DecisionNumberInCase>
  </dt_Decision>
  <dt_DecisionCase>
    <DecisionID>0</DecisionID>
    <CaseID>80965448</CaseID>
    <CaseJudicialPersonPresentationDS>
      <CaseJudicalPersonActive>
        <CaseID>80965448</CaseID>
        <JudicialPersonID>056479827@GOV.IL</JudicialPersonID>
        <JudicialPersonTypeID>1</JudicialPersonTypeID>
        <JudicialTypeID>3</JudicialTypeID>
        <IsChairman>true</IsChairman>
        <TreatmentStartDate>2024-02-14T09:49:24.833+02:00</TreatmentStartDate>
        <TreatmentFinishDate>9999-12-31T23:59:59.997+02:00</TreatmentFinishDate>
        <IdentificationCardNumber>056479827</IdentificationCardNumber>
        <DisplayName>חננאל שרעבי</DisplayName>
        <JudicialTypeName>הרכב שופטים</JudicialTypeName>
        <CaseJudicialGroupNumber>568534</CaseJudicialGroupNumber>
        <FirstName>חננאל</FirstName>
        <LastName>שרעבי</LastName>
        <JudicialPersonTitle>שופט</JudicialPersonTitle>
      </CaseJudicalPersonActive>
      <CaseJudicalPersonActive>
        <CaseID>80965448</CaseID>
        <JudicialPersonID>057955775@GOV.IL</JudicialPersonID>
        <JudicialPersonTypeID>1</JudicialPersonTypeID>
        <JudicialTypeID>3</JudicialTypeID>
        <IsChairman>false</IsChairman>
        <TreatmentStartDate>2024-02-14T09:49:24.833+02:00</TreatmentStartDate>
        <TreatmentFinishDate>9999-12-31T23:59:59.997+02:00</TreatmentFinishDate>
        <IdentificationCardNumber>057955775</IdentificationCardNumber>
        <DisplayName>אספרנצה אלון</DisplayName>
        <JudicialTypeName>הרכב שופטים</JudicialTypeName>
        <CaseJudicialGroupNumber>568534</CaseJudicialGroupNumber>
        <FirstName>אספרנצה</FirstName>
        <LastName>אלון</LastName>
        <JudicialPersonTitle>שופט</JudicialPersonTitle>
      </CaseJudicalPersonActive>
      <CaseJudicalPersonActive>
        <CaseID>80965448</CaseID>
        <JudicialPersonID>058677980@GOV.IL</JudicialPersonID>
        <JudicialPersonTypeID>1</JudicialPersonTypeID>
        <JudicialTypeID>3</JudicialTypeID>
        <IsChairman>false</IsChairman>
        <TreatmentStartDate>2024-02-14T09:49:24.833+02:00</TreatmentStartDate>
        <TreatmentFinishDate>9999-12-31T23:59:59.997+02:00</TreatmentFinishDate>
        <IdentificationCardNumber>058677980</IdentificationCardNumber>
        <DisplayName>אריה נאמן</DisplayName>
        <JudicialTypeName>הרכב שופטים</JudicialTypeName>
        <CaseJudicialGroupNumber>568534</CaseJudicialGroupNumber>
        <FirstName>אריה</FirstName>
        <LastName>נאמן</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מאיסא אסחאק גובראן</FullName>
        <FirstName>מאיסא</FirstName>
        <LastName>ג'ובראן</LastName>
        <PartyPropertyName/>
        <AuthenticationTypeAndNumber>ת"ז 200600732</AuthenticationTypeAndNumber>
        <RepresentatedOrRepresentativesNames>אסמר ויסאם</RepresentatedOrRepresentativesNames>
        <RepresentatedOrRepresentativesCount>1</RepresentatedOrRepresentativesCount>
        <InvitedBy/>
        <CaseID>80965448</CaseID>
        <CaseJudicialPersonPresentationDS>
          <CaseJudicalPersonActive>
            <CaseID>80965448</CaseID>
            <JudicialPersonID>056479827@GOV.IL</JudicialPersonID>
            <JudicialPersonTypeID>1</JudicialPersonTypeID>
            <JudicialTypeID>3</JudicialTypeID>
            <IsChairman>true</IsChairman>
            <TreatmentStartDate>2024-02-14T09:49:24.833+02:00</TreatmentStartDate>
            <TreatmentFinishDate>9999-12-31T23:59:59.997+02:00</TreatmentFinishDate>
            <IdentificationCardNumber>056479827</IdentificationCardNumber>
            <DisplayName>חננאל שרעבי</DisplayName>
            <JudicialTypeName>הרכב שופטים</JudicialTypeName>
            <CaseJudicialGroupNumber>568534</CaseJudicialGroupNumber>
            <FirstName>חננאל</FirstName>
            <LastName>שרעבי</LastName>
            <JudicialPersonTitle>שופט</JudicialPersonTitle>
          </CaseJudicalPersonActive>
          <CaseJudicalPersonActive>
            <CaseID>80965448</CaseID>
            <JudicialPersonID>057955775@GOV.IL</JudicialPersonID>
            <JudicialPersonTypeID>1</JudicialPersonTypeID>
            <JudicialTypeID>3</JudicialTypeID>
            <IsChairman>false</IsChairman>
            <TreatmentStartDate>2024-02-14T09:49:24.833+02:00</TreatmentStartDate>
            <TreatmentFinishDate>9999-12-31T23:59:59.997+02:00</TreatmentFinishDate>
            <IdentificationCardNumber>057955775</IdentificationCardNumber>
            <DisplayName>אספרנצה אלון</DisplayName>
            <JudicialTypeName>הרכב שופטים</JudicialTypeName>
            <CaseJudicialGroupNumber>568534</CaseJudicialGroupNumber>
            <FirstName>אספרנצה</FirstName>
            <LastName>אלון</LastName>
            <JudicialPersonTitle>שופט</JudicialPersonTitle>
          </CaseJudicalPersonActive>
          <CaseJudicalPersonActive>
            <CaseID>80965448</CaseID>
            <JudicialPersonID>058677980@GOV.IL</JudicialPersonID>
            <JudicialPersonTypeID>1</JudicialPersonTypeID>
            <JudicialTypeID>3</JudicialTypeID>
            <IsChairman>false</IsChairman>
            <TreatmentStartDate>2024-02-14T09:49:24.833+02:00</TreatmentStartDate>
            <TreatmentFinishDate>9999-12-31T23:59:59.997+02:00</TreatmentFinishDate>
            <IdentificationCardNumber>058677980</IdentificationCardNumber>
            <DisplayName>אריה נאמן</DisplayName>
            <JudicialTypeName>הרכב שופטים</JudicialTypeName>
            <CaseJudicialGroupNumber>568534</CaseJudicialGroupNumber>
            <FirstName>אריה</FirstName>
            <LastName>נאמן</LastName>
            <JudicialPersonTitle>שופט</JudicialPersonTitle>
          </CaseJudicalPersonActive>
        </CaseJudicialPersonPresentationDS>
        <CasePartyID>265903244</CasePartyID>
        <PartyTypeID>1</PartyTypeID>
        <ActivityStatusID>1</ActivityStatusID>
        <PartyAliasID>5</PartyAliasID>
        <PartyAliasName>מערער</PartyAliasName>
        <OrdinalNumber>1</OrdinalNumber>
        <LegalEntityID>6230476</LegalEntityID>
        <CaseLegalEntityID>127637198</CaseLegalEntityID>
        <AuthenticationTypeID>1</AuthenticationTypeID>
        <AuthenticationTypeName>ת"ז</AuthenticationTypeName>
        <LegalEntityNumber>200600732</LegalEntityNumber>
        <IsMainPartyType>true</IsMainPartyType>
        <CaseDisplayIdentifier>6687-02-24</CaseDisplayIdentifier>
        <CaseTypeID>63</CaseTypeID>
        <CaseTypeName>ערעור משפחה (עמ"ש)</CaseTypeName>
        <CaseName>אסחאק גובראן ואח' נ' קזמוז</CaseName>
        <FullAddress>לבונטיו 15 חיפה </FullAddress>
        <MotionID>0</MotionID>
        <CasePleaID>0</CasePleaID>
        <FatherName>אלכסנדר</FatherName>
        <LinkedCaseID>0</LinkedCaseID>
        <PartyID>1</PartyID>
        <CasePartyCategoryID>2</CasePartyCategoryID>
        <LegalEntityAddressID>88919265</LegalEntityAddressID>
        <PleaTypeID>6</PleaTypeID>
        <GroupPartyAlias>מערערים</GroupPartyAlias>
        <IsConverted>false</IsConverted>
        <LegalEntityRegisteredNameID>5042788</LegalEntityRegisteredNameID>
        <LegalEntityNameID>96101277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מאיסא אסחאק גובראן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אסמר ויסאם</FullName>
        <FirstName>אסמר</FirstName>
        <LastName>ויסאם</LastName>
        <PartyPropertyName/>
        <AuthenticationTypeAndNumber>מ.ר. 16521</AuthenticationTypeAndNumber>
        <RepresentatedOrRepresentativesNames>מאיסא אסחאק גובראן, אלכסנדר אסחק</RepresentatedOrRepresentativesNames>
        <RepresentatedOrRepresentativesCount>2</RepresentatedOrRepresentativesCount>
        <InvitedBy/>
        <CaseID>80965448</CaseID>
        <CaseJudicialPersonPresentationDS>
          <CaseJudicalPersonActive>
            <CaseID>80965448</CaseID>
            <JudicialPersonID>056479827@GOV.IL</JudicialPersonID>
            <JudicialPersonTypeID>1</JudicialPersonTypeID>
            <JudicialTypeID>3</JudicialTypeID>
            <IsChairman>true</IsChairman>
            <TreatmentStartDate>2024-02-14T09:49:24.833+02:00</TreatmentStartDate>
            <TreatmentFinishDate>9999-12-31T23:59:59.997+02:00</TreatmentFinishDate>
            <IdentificationCardNumber>056479827</IdentificationCardNumber>
            <DisplayName>חננאל שרעבי</DisplayName>
            <JudicialTypeName>הרכב שופטים</JudicialTypeName>
            <CaseJudicialGroupNumber>568534</CaseJudicialGroupNumber>
            <FirstName>חננאל</FirstName>
            <LastName>שרעבי</LastName>
            <JudicialPersonTitle>שופט</JudicialPersonTitle>
          </CaseJudicalPersonActive>
          <CaseJudicalPersonActive>
            <CaseID>80965448</CaseID>
            <JudicialPersonID>057955775@GOV.IL</JudicialPersonID>
            <JudicialPersonTypeID>1</JudicialPersonTypeID>
            <JudicialTypeID>3</JudicialTypeID>
            <IsChairman>false</IsChairman>
            <TreatmentStartDate>2024-02-14T09:49:24.833+02:00</TreatmentStartDate>
            <TreatmentFinishDate>9999-12-31T23:59:59.997+02:00</TreatmentFinishDate>
            <IdentificationCardNumber>057955775</IdentificationCardNumber>
            <DisplayName>אספרנצה אלון</DisplayName>
            <JudicialTypeName>הרכב שופטים</JudicialTypeName>
            <CaseJudicialGroupNumber>568534</CaseJudicialGroupNumber>
            <FirstName>אספרנצה</FirstName>
            <LastName>אלון</LastName>
            <JudicialPersonTitle>שופט</JudicialPersonTitle>
          </CaseJudicalPersonActive>
          <CaseJudicalPersonActive>
            <CaseID>80965448</CaseID>
            <JudicialPersonID>058677980@GOV.IL</JudicialPersonID>
            <JudicialPersonTypeID>1</JudicialPersonTypeID>
            <JudicialTypeID>3</JudicialTypeID>
            <IsChairman>false</IsChairman>
            <TreatmentStartDate>2024-02-14T09:49:24.833+02:00</TreatmentStartDate>
            <TreatmentFinishDate>9999-12-31T23:59:59.997+02:00</TreatmentFinishDate>
            <IdentificationCardNumber>058677980</IdentificationCardNumber>
            <DisplayName>אריה נאמן</DisplayName>
            <JudicialTypeName>הרכב שופטים</JudicialTypeName>
            <CaseJudicialGroupNumber>568534</CaseJudicialGroupNumber>
            <FirstName>אריה</FirstName>
            <LastName>נאמן</LastName>
            <JudicialPersonTitle>שופט</JudicialPersonTitle>
          </CaseJudicalPersonActive>
        </CaseJudicialPersonPresentationDS>
        <CasePartyID>265903247</CasePartyID>
        <PartyTypeID>2</PartyTypeID>
        <ActivityStatusID>1</ActivityStatusID>
        <PartyAliasID>24</PartyAliasID>
        <PartyAliasName>בא כוח מערערים</PartyAliasName>
        <OrdinalNumber>1</OrdinalNumber>
        <LegalEntityID>389312</LegalEntityID>
        <CaseLegalEntityID>127637201</CaseLegalEntityID>
        <AuthenticationTypeID>4</AuthenticationTypeID>
        <AuthenticationTypeName>מ.ר.</AuthenticationTypeName>
        <LegalEntityNumber>16521</LegalEntityNumber>
        <IsMainPartyType>true</IsMainPartyType>
        <CaseDisplayIdentifier>6687-02-24</CaseDisplayIdentifier>
        <CaseTypeID>63</CaseTypeID>
        <CaseTypeName>ערעור משפחה (עמ"ש)</CaseTypeName>
        <CaseName>אסחאק גובראן ואח' נ' קזמוז</CaseName>
        <FullAddress>פל ים 5 חיפה ת.ד. 33700__קומה 1</FullAddress>
        <EmailAddress>adv.asmar@gmail.com</EmailAddress>
        <MotionID>0</MotionID>
        <CasePleaID>0</CasePleaID>
        <LinkedCaseID>0</LinkedCaseID>
        <PartyID>1</PartyID>
        <CasePartyCategoryID>2</CasePartyCategoryID>
        <LegalEntityAddressID>71940985</LegalEntityAddressID>
        <LegalEntityEmailAddressID>67835646</LegalEntityEmailAddressID>
        <PleaTypeID>6</PleaTypeID>
        <LawyerOfficeName>משרד עו"ד: אסמר ויסאם</LawyerOfficeName>
        <LawyerOfficeID>429956</LawyerOfficeID>
        <GroupPartyAlias/>
        <IsConverted>false</IsConverted>
        <LegalEntityNameID>10296</LegalEntityNameID>
        <RepresentatedNamesOfAssistant/>
        <LegalEntityTypeID>4</LegalEntityTypeID>
        <IsVerdictExists>false</IsVerdictExists>
        <IsAsirAzir>false</IsAsirAzir>
        <IsPublicationProhibited>false</IsPublicationProhibited>
        <PublicationProhibitedFullName>אסמר ויסאם</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לולו קזמוז</FullName>
        <FirstName>לולו</FirstName>
        <LastName>קזמוז</LastName>
        <PartyPropertyName/>
        <AuthenticationTypeAndNumber>ת"ז 058593088</AuthenticationTypeAndNumber>
        <RepresentatedOrRepresentativesNames>יעקב ח'לול</RepresentatedOrRepresentativesNames>
        <RepresentatedOrRepresentativesCount>1</RepresentatedOrRepresentativesCount>
        <InvitedBy/>
        <CaseID>80965448</CaseID>
        <CaseJudicialPersonPresentationDS>
          <CaseJudicalPersonActive>
            <CaseID>80965448</CaseID>
            <JudicialPersonID>056479827@GOV.IL</JudicialPersonID>
            <JudicialPersonTypeID>1</JudicialPersonTypeID>
            <JudicialTypeID>3</JudicialTypeID>
            <IsChairman>true</IsChairman>
            <TreatmentStartDate>2024-02-14T09:49:24.833+02:00</TreatmentStartDate>
            <TreatmentFinishDate>9999-12-31T23:59:59.997+02:00</TreatmentFinishDate>
            <IdentificationCardNumber>056479827</IdentificationCardNumber>
            <DisplayName>חננאל שרעבי</DisplayName>
            <JudicialTypeName>הרכב שופטים</JudicialTypeName>
            <CaseJudicialGroupNumber>568534</CaseJudicialGroupNumber>
            <FirstName>חננאל</FirstName>
            <LastName>שרעבי</LastName>
            <JudicialPersonTitle>שופט</JudicialPersonTitle>
          </CaseJudicalPersonActive>
          <CaseJudicalPersonActive>
            <CaseID>80965448</CaseID>
            <JudicialPersonID>057955775@GOV.IL</JudicialPersonID>
            <JudicialPersonTypeID>1</JudicialPersonTypeID>
            <JudicialTypeID>3</JudicialTypeID>
            <IsChairman>false</IsChairman>
            <TreatmentStartDate>2024-02-14T09:49:24.833+02:00</TreatmentStartDate>
            <TreatmentFinishDate>9999-12-31T23:59:59.997+02:00</TreatmentFinishDate>
            <IdentificationCardNumber>057955775</IdentificationCardNumber>
            <DisplayName>אספרנצה אלון</DisplayName>
            <JudicialTypeName>הרכב שופטים</JudicialTypeName>
            <CaseJudicialGroupNumber>568534</CaseJudicialGroupNumber>
            <FirstName>אספרנצה</FirstName>
            <LastName>אלון</LastName>
            <JudicialPersonTitle>שופט</JudicialPersonTitle>
          </CaseJudicalPersonActive>
          <CaseJudicalPersonActive>
            <CaseID>80965448</CaseID>
            <JudicialPersonID>058677980@GOV.IL</JudicialPersonID>
            <JudicialPersonTypeID>1</JudicialPersonTypeID>
            <JudicialTypeID>3</JudicialTypeID>
            <IsChairman>false</IsChairman>
            <TreatmentStartDate>2024-02-14T09:49:24.833+02:00</TreatmentStartDate>
            <TreatmentFinishDate>9999-12-31T23:59:59.997+02:00</TreatmentFinishDate>
            <IdentificationCardNumber>058677980</IdentificationCardNumber>
            <DisplayName>אריה נאמן</DisplayName>
            <JudicialTypeName>הרכב שופטים</JudicialTypeName>
            <CaseJudicialGroupNumber>568534</CaseJudicialGroupNumber>
            <FirstName>אריה</FirstName>
            <LastName>נאמן</LastName>
            <JudicialPersonTitle>שופט</JudicialPersonTitle>
          </CaseJudicalPersonActive>
        </CaseJudicialPersonPresentationDS>
        <CasePartyID>265903246</CasePartyID>
        <PartyTypeID>1</PartyTypeID>
        <ActivityStatusID>1</ActivityStatusID>
        <PartyAliasID>4</PartyAliasID>
        <PartyAliasName>משיב</PartyAliasName>
        <OrdinalNumber>1</OrdinalNumber>
        <LegalEntityID>6205011</LegalEntityID>
        <CaseLegalEntityID>127637200</CaseLegalEntityID>
        <AuthenticationTypeID>1</AuthenticationTypeID>
        <AuthenticationTypeName>ת"ז</AuthenticationTypeName>
        <LegalEntityNumber>058593088</LegalEntityNumber>
        <IsMainPartyType>true</IsMainPartyType>
        <CaseDisplayIdentifier>6687-02-24</CaseDisplayIdentifier>
        <CaseTypeID>63</CaseTypeID>
        <CaseTypeName>ערעור משפחה (עמ"ש)</CaseTypeName>
        <CaseName>אסחאק גובראן ואח' נ' קזמוז</CaseName>
        <FullAddress>יוחנן הקדוש 28 חיפה </FullAddress>
        <MotionID>0</MotionID>
        <CasePleaID>0</CasePleaID>
        <FatherName>גירייס</FatherName>
        <LinkedCaseID>0</LinkedCaseID>
        <PartyID>2</PartyID>
        <CasePartyCategoryID>2</CasePartyCategoryID>
        <LegalEntityAddressID>86118870</LegalEntityAddressID>
        <PleaTypeID>6</PleaTypeID>
        <GroupPartyAlias>משיבים</GroupPartyAlias>
        <IsConverted>false</IsConverted>
        <LegalEntityRegisteredNameID>6118528</LegalEntityRegisteredNameID>
        <LegalEntityNameID>92606472</LegalEntityNameID>
        <RepresentatedNamesOfAssistant/>
        <LegalEntityTypeID>1</LegalEntityTypeID>
        <IsVerdictExists>false</IsVerdictExists>
        <IsAsirAzir>false</IsAsirAzir>
        <IsPublicationProhibited>false</IsPublicationProhibited>
        <PublicationProhibitedFullName>לולו קזמוז</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יעקב ח'לול</FullName>
        <FirstName>יעקב</FirstName>
        <LastName>ח'לול</LastName>
        <PartyPropertyName/>
        <AuthenticationTypeAndNumber>מ.ר. 56274</AuthenticationTypeAndNumber>
        <RepresentatedOrRepresentativesNames>לולו קזמוז</RepresentatedOrRepresentativesNames>
        <RepresentatedOrRepresentativesCount>1</RepresentatedOrRepresentativesCount>
        <InvitedBy/>
        <CaseID>80965448</CaseID>
        <CaseJudicialPersonPresentationDS>
          <CaseJudicalPersonActive>
            <CaseID>80965448</CaseID>
            <JudicialPersonID>056479827@GOV.IL</JudicialPersonID>
            <JudicialPersonTypeID>1</JudicialPersonTypeID>
            <JudicialTypeID>3</JudicialTypeID>
            <IsChairman>true</IsChairman>
            <TreatmentStartDate>2024-02-14T09:49:24.833+02:00</TreatmentStartDate>
            <TreatmentFinishDate>9999-12-31T23:59:59.997+02:00</TreatmentFinishDate>
            <IdentificationCardNumber>056479827</IdentificationCardNumber>
            <DisplayName>חננאל שרעבי</DisplayName>
            <JudicialTypeName>הרכב שופטים</JudicialTypeName>
            <CaseJudicialGroupNumber>568534</CaseJudicialGroupNumber>
            <FirstName>חננאל</FirstName>
            <LastName>שרעבי</LastName>
            <JudicialPersonTitle>שופט</JudicialPersonTitle>
          </CaseJudicalPersonActive>
          <CaseJudicalPersonActive>
            <CaseID>80965448</CaseID>
            <JudicialPersonID>057955775@GOV.IL</JudicialPersonID>
            <JudicialPersonTypeID>1</JudicialPersonTypeID>
            <JudicialTypeID>3</JudicialTypeID>
            <IsChairman>false</IsChairman>
            <TreatmentStartDate>2024-02-14T09:49:24.833+02:00</TreatmentStartDate>
            <TreatmentFinishDate>9999-12-31T23:59:59.997+02:00</TreatmentFinishDate>
            <IdentificationCardNumber>057955775</IdentificationCardNumber>
            <DisplayName>אספרנצה אלון</DisplayName>
            <JudicialTypeName>הרכב שופטים</JudicialTypeName>
            <CaseJudicialGroupNumber>568534</CaseJudicialGroupNumber>
            <FirstName>אספרנצה</FirstName>
            <LastName>אלון</LastName>
            <JudicialPersonTitle>שופט</JudicialPersonTitle>
          </CaseJudicalPersonActive>
          <CaseJudicalPersonActive>
            <CaseID>80965448</CaseID>
            <JudicialPersonID>058677980@GOV.IL</JudicialPersonID>
            <JudicialPersonTypeID>1</JudicialPersonTypeID>
            <JudicialTypeID>3</JudicialTypeID>
            <IsChairman>false</IsChairman>
            <TreatmentStartDate>2024-02-14T09:49:24.833+02:00</TreatmentStartDate>
            <TreatmentFinishDate>9999-12-31T23:59:59.997+02:00</TreatmentFinishDate>
            <IdentificationCardNumber>058677980</IdentificationCardNumber>
            <DisplayName>אריה נאמן</DisplayName>
            <JudicialTypeName>הרכב שופטים</JudicialTypeName>
            <CaseJudicialGroupNumber>568534</CaseJudicialGroupNumber>
            <FirstName>אריה</FirstName>
            <LastName>נאמן</LastName>
            <JudicialPersonTitle>שופט</JudicialPersonTitle>
          </CaseJudicalPersonActive>
        </CaseJudicialPersonPresentationDS>
        <CasePartyID>265903248</CasePartyID>
        <PartyTypeID>2</PartyTypeID>
        <ActivityStatusID>1</ActivityStatusID>
        <PartyAliasID>23</PartyAliasID>
        <PartyAliasName>בא כוח משיבים</PartyAliasName>
        <OrdinalNumber>1</OrdinalNumber>
        <LegalEntityID>69859231</LegalEntityID>
        <CaseLegalEntityID>127637202</CaseLegalEntityID>
        <AuthenticationTypeID>4</AuthenticationTypeID>
        <AuthenticationTypeName>מ.ר.</AuthenticationTypeName>
        <LegalEntityNumber>56274</LegalEntityNumber>
        <IsMainPartyType>true</IsMainPartyType>
        <CaseDisplayIdentifier>6687-02-24</CaseDisplayIdentifier>
        <CaseTypeID>63</CaseTypeID>
        <CaseTypeName>ערעור משפחה (עמ"ש)</CaseTypeName>
        <CaseName>אסחאק גובראן ואח' נ' קזמוז</CaseName>
        <FullAddress>העצמאות 43 חיפה </FullAddress>
        <MotionID>0</MotionID>
        <CasePleaID>0</CasePleaID>
        <LinkedCaseID>0</LinkedCaseID>
        <PartyID>2</PartyID>
        <CasePartyCategoryID>2</CasePartyCategoryID>
        <LegalEntityAddressID>76828826</LegalEntityAddressID>
        <PleaTypeID>6</PleaTypeID>
        <LawyerOfficeName>משרד עו"ד יעקב ח'לול</LawyerOfficeName>
        <LawyerOfficeID>69859232</LawyerOfficeID>
        <GroupPartyAlias/>
        <IsConverted>false</IsConverted>
        <LegalEntityNameID>78190804</LegalEntityNameID>
        <RepresentatedNamesOfAssistant/>
        <LegalEntityTypeID>4</LegalEntityTypeID>
        <IsVerdictExists>false</IsVerdictExists>
        <IsAsirAzir>false</IsAsirAzir>
        <IsPublicationProhibited>false</IsPublicationProhibited>
        <PublicationProhibitedFullName>יעקב ח'לול</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אלכסנדר אסחק</FullName>
        <FirstName>אלכסנדר</FirstName>
        <LastName>אסחק</LastName>
        <PartyPropertyName/>
        <AuthenticationTypeAndNumber>ת"ז 058975350</AuthenticationTypeAndNumber>
        <RepresentatedOrRepresentativesNames>אסמר ויסאם</RepresentatedOrRepresentativesNames>
        <RepresentatedOrRepresentativesCount>1</RepresentatedOrRepresentativesCount>
        <InvitedBy/>
        <CaseID>80965448</CaseID>
        <CaseJudicialPersonPresentationDS>
          <CaseJudicalPersonActive>
            <CaseID>80965448</CaseID>
            <JudicialPersonID>056479827@GOV.IL</JudicialPersonID>
            <JudicialPersonTypeID>1</JudicialPersonTypeID>
            <JudicialTypeID>3</JudicialTypeID>
            <IsChairman>true</IsChairman>
            <TreatmentStartDate>2024-02-14T09:49:24.833+02:00</TreatmentStartDate>
            <TreatmentFinishDate>9999-12-31T23:59:59.997+02:00</TreatmentFinishDate>
            <IdentificationCardNumber>056479827</IdentificationCardNumber>
            <DisplayName>חננאל שרעבי</DisplayName>
            <JudicialTypeName>הרכב שופטים</JudicialTypeName>
            <CaseJudicialGroupNumber>568534</CaseJudicialGroupNumber>
            <FirstName>חננאל</FirstName>
            <LastName>שרעבי</LastName>
            <JudicialPersonTitle>שופט</JudicialPersonTitle>
          </CaseJudicalPersonActive>
          <CaseJudicalPersonActive>
            <CaseID>80965448</CaseID>
            <JudicialPersonID>057955775@GOV.IL</JudicialPersonID>
            <JudicialPersonTypeID>1</JudicialPersonTypeID>
            <JudicialTypeID>3</JudicialTypeID>
            <IsChairman>false</IsChairman>
            <TreatmentStartDate>2024-02-14T09:49:24.833+02:00</TreatmentStartDate>
            <TreatmentFinishDate>9999-12-31T23:59:59.997+02:00</TreatmentFinishDate>
            <IdentificationCardNumber>057955775</IdentificationCardNumber>
            <DisplayName>אספרנצה אלון</DisplayName>
            <JudicialTypeName>הרכב שופטים</JudicialTypeName>
            <CaseJudicialGroupNumber>568534</CaseJudicialGroupNumber>
            <FirstName>אספרנצה</FirstName>
            <LastName>אלון</LastName>
            <JudicialPersonTitle>שופט</JudicialPersonTitle>
          </CaseJudicalPersonActive>
          <CaseJudicalPersonActive>
            <CaseID>80965448</CaseID>
            <JudicialPersonID>058677980@GOV.IL</JudicialPersonID>
            <JudicialPersonTypeID>1</JudicialPersonTypeID>
            <JudicialTypeID>3</JudicialTypeID>
            <IsChairman>false</IsChairman>
            <TreatmentStartDate>2024-02-14T09:49:24.833+02:00</TreatmentStartDate>
            <TreatmentFinishDate>9999-12-31T23:59:59.997+02:00</TreatmentFinishDate>
            <IdentificationCardNumber>058677980</IdentificationCardNumber>
            <DisplayName>אריה נאמן</DisplayName>
            <JudicialTypeName>הרכב שופטים</JudicialTypeName>
            <CaseJudicialGroupNumber>568534</CaseJudicialGroupNumber>
            <FirstName>אריה</FirstName>
            <LastName>נאמן</LastName>
            <JudicialPersonTitle>שופט</JudicialPersonTitle>
          </CaseJudicalPersonActive>
        </CaseJudicialPersonPresentationDS>
        <CasePartyID>265903245</CasePartyID>
        <PartyTypeID>1</PartyTypeID>
        <ActivityStatusID>1</ActivityStatusID>
        <PartyAliasID>5</PartyAliasID>
        <PartyAliasName>מערער</PartyAliasName>
        <OrdinalNumber>2</OrdinalNumber>
        <LegalEntityID>6206338</LegalEntityID>
        <CaseLegalEntityID>127637199</CaseLegalEntityID>
        <AuthenticationTypeID>1</AuthenticationTypeID>
        <AuthenticationTypeName>ת"ז</AuthenticationTypeName>
        <LegalEntityNumber>058975350</LegalEntityNumber>
        <IsMainPartyType>true</IsMainPartyType>
        <CaseDisplayIdentifier>6687-02-24</CaseDisplayIdentifier>
        <CaseTypeID>63</CaseTypeID>
        <CaseTypeName>ערעור משפחה (עמ"ש)</CaseTypeName>
        <CaseName>אסחאק גובראן ואח' נ' קזמוז</CaseName>
        <FullAddress>סטלה מאריס 18 חיפה </FullAddress>
        <MotionID>0</MotionID>
        <CasePleaID>0</CasePleaID>
        <FatherName>סובחי</FatherName>
        <LinkedCaseID>0</LinkedCaseID>
        <PartyID>1</PartyID>
        <CasePartyCategoryID>2</CasePartyCategoryID>
        <LegalEntityAddressID>86118872</LegalEntityAddressID>
        <PleaTypeID>6</PleaTypeID>
        <GroupPartyAlias>מערערים</GroupPartyAlias>
        <IsConverted>false</IsConverted>
        <LegalEntityRegisteredNameID>10642956</LegalEntityRegisteredNameID>
        <LegalEntityNameID>92606474</LegalEntityNameID>
        <RepresentatedNamesOfAssistant/>
        <LegalEntityTypeID>1</LegalEntityTypeID>
        <IsVerdictExists>false</IsVerdictExists>
        <IsAsirAzir>false</IsAsirAzir>
        <IsPublicationProhibited>false</IsPublicationProhibited>
        <PublicationProhibitedFullName>אלכסנדר אסחק</PublicationProhibitedFullName>
      </CaseParties>
    </CasePartiesSelectionDS>
    <CaseName>אסחאק גובראן ואח' נ' קזמוז</CaseName>
    <CaseDisplayIdentifier>6687-02-24</CaseDisplayIdentifier>
    <CaseInterestID>10514</CaseInterestID>
    <CaseTypeShortName>עמ"ש</CaseTypeShortName>
  </dt_DecisionCase>
  <dt_DecisionJudgePanel>
    <JudgeID>056479827@GOV.IL</JudgeID>
    <DisplayName>שרעבי</DisplayName>
    <RoleName>שופט</RoleName>
    <UserTitleName>שופט</UserTitleName>
  </dt_DecisionJudgePanel>
  <dt_DecisionJudgePanel>
    <JudgeID>057955775@GOV.IL</JudgeID>
    <DisplayName>אלון</DisplayName>
    <RoleName>שופט</RoleName>
    <UserTitleName>שופטת</UserTitleName>
  </dt_DecisionJudgePanel>
  <dt_DecisionJudgePanel>
    <JudgeID>058677980@GOV.IL</JudgeID>
    <DisplayName>נאמן</DisplayName>
    <RoleName>שופט</RoleName>
    <UserTitleName>שופט</UserTitleName>
  </dt_DecisionJudgePanel>
  <dt_LegalEntityDetails>
    <PartyID>1</PartyID>
    <PartyTypeID>1</PartyTypeID>
    <DecisionID>0</DecisionID>
    <StreetName>לבונטיו 15</StreetName>
    <CityName>חיפה</CityName>
    <FullName>מאיסא אסחאק גובראן</FullName>
    <IsPublicationProhibited>false</IsPublicationProhibited>
  </dt_LegalEntityDetails>
  <dt_LegalEntityDetails>
    <PartyID>2</PartyID>
    <PartyTypeID>1</PartyTypeID>
    <DecisionID>0</DecisionID>
    <StreetName>יוחנן הקדוש 28</StreetName>
    <CityName>חיפה</CityName>
    <FullName>לולו קזמוז</FullName>
    <IsPublicationProhibited>false</IsPublicationProhibited>
  </dt_LegalEntityDetails>
  <dt_LegalEntityDetails>
    <Fax>04-8555332</Fax>
    <Phone>04-8555331</Phone>
    <AddressDesc>ת.ד. 33700__קומה 1</AddressDesc>
    <PartyID>1</PartyID>
    <PartyTypeID>2</PartyTypeID>
    <DecisionID>0</DecisionID>
    <StreetName>פל ים 5</StreetName>
    <ZipCode>31336</ZipCode>
    <CityName>חיפה</CityName>
    <FullName>אסמר ויסאם</FullName>
    <Email>adv.asmar@gmail.com</Email>
    <IsPublicationProhibited>false</IsPublicationProhibited>
  </dt_LegalEntityDetails>
  <dt_LegalEntityDetails>
    <Fax>076-5100998</Fax>
    <PartyID>2</PartyID>
    <PartyTypeID>2</PartyTypeID>
    <DecisionID>0</DecisionID>
    <StreetName>העצמאות 43</StreetName>
    <CityName>חיפה</CityName>
    <FullName>יעקב ח'לול</FullName>
    <Email>eakov@hotmail.com</Email>
    <IsPublicationProhibited>false</IsPublicationProhibited>
  </dt_LegalEntityDetails>
  <dt_LegalEntityDetails>
    <PartyID>1</PartyID>
    <PartyTypeID>1</PartyTypeID>
    <DecisionID>0</DecisionID>
    <StreetName>סטלה מאריס 18</StreetName>
    <CityName>חיפה</CityName>
    <FullName>אלכסנדר אסחק</FullName>
    <IsPublicationProhibited>false</IsPublicationProhibited>
  </dt_LegalEntityDetails>
  <dt_CaseJudicalPersonActive>
    <CaseJudicalPerson>שופט חננאל שרעבי, שופטת אספרנצה אלון, שופט אריה נאמן</CaseJudicalPerson>
  </dt_CaseJudicalPersonActive>
  <dt_Sitting>
    <PreviousMeetingDate>2024-06-10T11:00:00+03:00</PreviousMeetingDate>
    <PreviousSittingTypeID>5</PreviousSittingTypeID>
    <PreviousMeetingDisplayName>חננאל שרעבי, אספרנצה אלון, אריה נאמן</PreviousMeetingDisplayName>
    <PreviousMeetingUserUPN>056479827@GOV.IL, 057955775@GOV.IL, 058677980@GOV.IL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DC6FA-0F04-4743-97DA-AD94D465E8B2}">
  <ds:schemaRefs/>
</ds:datastoreItem>
</file>

<file path=customXml/itemProps2.xml><?xml version="1.0" encoding="utf-8"?>
<ds:datastoreItem xmlns:ds="http://schemas.openxmlformats.org/officeDocument/2006/customXml" ds:itemID="{81FC97CE-9F09-4DBF-BA01-8700D4829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4733</Words>
  <Characters>23670</Characters>
  <Application>Microsoft Office Word</Application>
  <DocSecurity>0</DocSecurity>
  <Lines>197</Lines>
  <Paragraphs>56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2024-07-01T06:59:00Z</dcterms:created>
  <dcterms:modified xsi:type="dcterms:W3CDTF">2024-07-01T06:59:00Z</dcterms:modified>
</cp:coreProperties>
</file>